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942BD" w:rsidRDefault="004E3912">
      <w:pPr>
        <w:spacing w:after="0" w:line="259" w:lineRule="auto"/>
        <w:ind w:left="796" w:right="0" w:firstLine="0"/>
      </w:pPr>
      <w:r>
        <w:rPr>
          <w:rFonts w:ascii="Calibri" w:eastAsia="Calibri" w:hAnsi="Calibri" w:cs="Calibri"/>
          <w:noProof/>
          <w:color w:val="000000"/>
        </w:rPr>
        <mc:AlternateContent>
          <mc:Choice Requires="wpg">
            <w:drawing>
              <wp:anchor distT="0" distB="0" distL="114300" distR="114300" simplePos="0" relativeHeight="251658240" behindDoc="1" locked="0" layoutInCell="1" allowOverlap="1">
                <wp:simplePos x="0" y="0"/>
                <wp:positionH relativeFrom="column">
                  <wp:posOffset>502920</wp:posOffset>
                </wp:positionH>
                <wp:positionV relativeFrom="paragraph">
                  <wp:posOffset>-123998</wp:posOffset>
                </wp:positionV>
                <wp:extent cx="1353312" cy="355600"/>
                <wp:effectExtent l="0" t="0" r="0" b="0"/>
                <wp:wrapNone/>
                <wp:docPr id="4062" name="Group 4062"/>
                <wp:cNvGraphicFramePr/>
                <a:graphic xmlns:a="http://schemas.openxmlformats.org/drawingml/2006/main">
                  <a:graphicData uri="http://schemas.microsoft.com/office/word/2010/wordprocessingGroup">
                    <wpg:wgp>
                      <wpg:cNvGrpSpPr/>
                      <wpg:grpSpPr>
                        <a:xfrm>
                          <a:off x="0" y="0"/>
                          <a:ext cx="1353312" cy="355600"/>
                          <a:chOff x="0" y="0"/>
                          <a:chExt cx="1353312" cy="355600"/>
                        </a:xfrm>
                      </wpg:grpSpPr>
                      <wps:wsp>
                        <wps:cNvPr id="10" name="Shape 10"/>
                        <wps:cNvSpPr/>
                        <wps:spPr>
                          <a:xfrm>
                            <a:off x="7250" y="0"/>
                            <a:ext cx="1346060" cy="0"/>
                          </a:xfrm>
                          <a:custGeom>
                            <a:avLst/>
                            <a:gdLst/>
                            <a:ahLst/>
                            <a:cxnLst/>
                            <a:rect l="0" t="0" r="0" b="0"/>
                            <a:pathLst>
                              <a:path w="1346060">
                                <a:moveTo>
                                  <a:pt x="0" y="0"/>
                                </a:moveTo>
                                <a:lnTo>
                                  <a:pt x="1346060" y="0"/>
                                </a:lnTo>
                              </a:path>
                            </a:pathLst>
                          </a:custGeom>
                          <a:ln w="12700" cap="flat">
                            <a:miter lim="127000"/>
                          </a:ln>
                        </wps:spPr>
                        <wps:style>
                          <a:lnRef idx="1">
                            <a:srgbClr val="F9B074"/>
                          </a:lnRef>
                          <a:fillRef idx="0">
                            <a:srgbClr val="000000">
                              <a:alpha val="0"/>
                            </a:srgbClr>
                          </a:fillRef>
                          <a:effectRef idx="0">
                            <a:scrgbClr r="0" g="0" b="0"/>
                          </a:effectRef>
                          <a:fontRef idx="none"/>
                        </wps:style>
                        <wps:bodyPr/>
                      </wps:wsp>
                      <wps:wsp>
                        <wps:cNvPr id="11" name="Shape 11"/>
                        <wps:cNvSpPr/>
                        <wps:spPr>
                          <a:xfrm>
                            <a:off x="0" y="355600"/>
                            <a:ext cx="1353312" cy="0"/>
                          </a:xfrm>
                          <a:custGeom>
                            <a:avLst/>
                            <a:gdLst/>
                            <a:ahLst/>
                            <a:cxnLst/>
                            <a:rect l="0" t="0" r="0" b="0"/>
                            <a:pathLst>
                              <a:path w="1353312">
                                <a:moveTo>
                                  <a:pt x="0" y="0"/>
                                </a:moveTo>
                                <a:lnTo>
                                  <a:pt x="1353312" y="0"/>
                                </a:lnTo>
                              </a:path>
                            </a:pathLst>
                          </a:custGeom>
                          <a:ln w="12700" cap="flat">
                            <a:miter lim="127000"/>
                          </a:ln>
                        </wps:spPr>
                        <wps:style>
                          <a:lnRef idx="1">
                            <a:srgbClr val="F9B07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62" style="width:106.56pt;height:28pt;position:absolute;z-index:-2147483644;mso-position-horizontal-relative:text;mso-position-horizontal:absolute;margin-left:39.6pt;mso-position-vertical-relative:text;margin-top:-9.76367pt;" coordsize="13533,3556">
                <v:shape id="Shape 10" style="position:absolute;width:13460;height:0;left:72;top:0;" coordsize="1346060,0" path="m0,0l1346060,0">
                  <v:stroke weight="1pt" endcap="flat" joinstyle="miter" miterlimit="10" on="true" color="#f9b074"/>
                  <v:fill on="false" color="#000000" opacity="0"/>
                </v:shape>
                <v:shape id="Shape 11" style="position:absolute;width:13533;height:0;left:0;top:3556;" coordsize="1353312,0" path="m0,0l1353312,0">
                  <v:stroke weight="1pt" endcap="flat" joinstyle="miter" miterlimit="10" on="true" color="#f9b074"/>
                  <v:fill on="false" color="#000000" opacity="0"/>
                </v:shape>
              </v:group>
            </w:pict>
          </mc:Fallback>
        </mc:AlternateContent>
      </w: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4410339"/>
                <wp:effectExtent l="0" t="0" r="0" b="0"/>
                <wp:wrapTopAndBottom/>
                <wp:docPr id="4061" name="Group 4061"/>
                <wp:cNvGraphicFramePr/>
                <a:graphic xmlns:a="http://schemas.openxmlformats.org/drawingml/2006/main">
                  <a:graphicData uri="http://schemas.microsoft.com/office/word/2010/wordprocessingGroup">
                    <wpg:wgp>
                      <wpg:cNvGrpSpPr/>
                      <wpg:grpSpPr>
                        <a:xfrm>
                          <a:off x="0" y="0"/>
                          <a:ext cx="7772400" cy="4410339"/>
                          <a:chOff x="0" y="0"/>
                          <a:chExt cx="7772400" cy="4410339"/>
                        </a:xfrm>
                      </wpg:grpSpPr>
                      <wps:wsp>
                        <wps:cNvPr id="5604" name="Shape 5604"/>
                        <wps:cNvSpPr/>
                        <wps:spPr>
                          <a:xfrm>
                            <a:off x="0" y="0"/>
                            <a:ext cx="7772400" cy="3771900"/>
                          </a:xfrm>
                          <a:custGeom>
                            <a:avLst/>
                            <a:gdLst/>
                            <a:ahLst/>
                            <a:cxnLst/>
                            <a:rect l="0" t="0" r="0" b="0"/>
                            <a:pathLst>
                              <a:path w="7772400" h="3771900">
                                <a:moveTo>
                                  <a:pt x="0" y="0"/>
                                </a:moveTo>
                                <a:lnTo>
                                  <a:pt x="7772400" y="0"/>
                                </a:lnTo>
                                <a:lnTo>
                                  <a:pt x="7772400" y="3771900"/>
                                </a:lnTo>
                                <a:lnTo>
                                  <a:pt x="0" y="3771900"/>
                                </a:lnTo>
                                <a:lnTo>
                                  <a:pt x="0" y="0"/>
                                </a:lnTo>
                              </a:path>
                            </a:pathLst>
                          </a:custGeom>
                          <a:ln w="0" cap="flat">
                            <a:miter lim="127000"/>
                          </a:ln>
                        </wps:spPr>
                        <wps:style>
                          <a:lnRef idx="0">
                            <a:srgbClr val="000000">
                              <a:alpha val="0"/>
                            </a:srgbClr>
                          </a:lnRef>
                          <a:fillRef idx="1">
                            <a:srgbClr val="8EB4E3"/>
                          </a:fillRef>
                          <a:effectRef idx="0">
                            <a:scrgbClr r="0" g="0" b="0"/>
                          </a:effectRef>
                          <a:fontRef idx="none"/>
                        </wps:style>
                        <wps:bodyPr/>
                      </wps:wsp>
                      <wps:wsp>
                        <wps:cNvPr id="5605" name="Shape 5605"/>
                        <wps:cNvSpPr/>
                        <wps:spPr>
                          <a:xfrm>
                            <a:off x="0" y="0"/>
                            <a:ext cx="7772400" cy="742429"/>
                          </a:xfrm>
                          <a:custGeom>
                            <a:avLst/>
                            <a:gdLst/>
                            <a:ahLst/>
                            <a:cxnLst/>
                            <a:rect l="0" t="0" r="0" b="0"/>
                            <a:pathLst>
                              <a:path w="7772400" h="742429">
                                <a:moveTo>
                                  <a:pt x="0" y="0"/>
                                </a:moveTo>
                                <a:lnTo>
                                  <a:pt x="7772400" y="0"/>
                                </a:lnTo>
                                <a:lnTo>
                                  <a:pt x="7772400" y="742429"/>
                                </a:lnTo>
                                <a:lnTo>
                                  <a:pt x="0" y="742429"/>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8" name="Rectangle 8"/>
                        <wps:cNvSpPr/>
                        <wps:spPr>
                          <a:xfrm>
                            <a:off x="3808236" y="879073"/>
                            <a:ext cx="4797757" cy="206395"/>
                          </a:xfrm>
                          <a:prstGeom prst="rect">
                            <a:avLst/>
                          </a:prstGeom>
                          <a:ln>
                            <a:noFill/>
                          </a:ln>
                        </wps:spPr>
                        <wps:txbx>
                          <w:txbxContent>
                            <w:p w:rsidR="00B942BD" w:rsidRDefault="004E3912">
                              <w:pPr>
                                <w:spacing w:after="160" w:line="259" w:lineRule="auto"/>
                                <w:ind w:left="0" w:right="0" w:firstLine="0"/>
                              </w:pPr>
                              <w:r>
                                <w:rPr>
                                  <w:b/>
                                  <w:color w:val="FFFEFD"/>
                                  <w:sz w:val="26"/>
                                </w:rPr>
                                <w:t>REPORT OF EXAMINATION   |  2019M-169</w:t>
                              </w:r>
                            </w:p>
                          </w:txbxContent>
                        </wps:txbx>
                        <wps:bodyPr horzOverflow="overflow" vert="horz" lIns="0" tIns="0" rIns="0" bIns="0" rtlCol="0">
                          <a:noAutofit/>
                        </wps:bodyPr>
                      </wps:wsp>
                      <wps:wsp>
                        <wps:cNvPr id="9" name="Rectangle 9"/>
                        <wps:cNvSpPr/>
                        <wps:spPr>
                          <a:xfrm>
                            <a:off x="2731775" y="513313"/>
                            <a:ext cx="6275598" cy="158766"/>
                          </a:xfrm>
                          <a:prstGeom prst="rect">
                            <a:avLst/>
                          </a:prstGeom>
                          <a:ln>
                            <a:noFill/>
                          </a:ln>
                        </wps:spPr>
                        <wps:txbx>
                          <w:txbxContent>
                            <w:p w:rsidR="00B942BD" w:rsidRDefault="004E3912">
                              <w:pPr>
                                <w:spacing w:after="160" w:line="259" w:lineRule="auto"/>
                                <w:ind w:left="0" w:right="0" w:firstLine="0"/>
                              </w:pPr>
                              <w:r>
                                <w:rPr>
                                  <w:b/>
                                  <w:color w:val="FFFEFD"/>
                                  <w:sz w:val="20"/>
                                </w:rPr>
                                <w:t xml:space="preserve">DIVISION OF LOCAL GOVERNMENT AND SCHOOL ACCOUNTABILITY </w:t>
                              </w:r>
                            </w:p>
                          </w:txbxContent>
                        </wps:txbx>
                        <wps:bodyPr horzOverflow="overflow" vert="horz" lIns="0" tIns="0" rIns="0" bIns="0" rtlCol="0">
                          <a:noAutofit/>
                        </wps:bodyPr>
                      </wps:wsp>
                      <wps:wsp>
                        <wps:cNvPr id="15" name="Rectangle 15"/>
                        <wps:cNvSpPr/>
                        <wps:spPr>
                          <a:xfrm>
                            <a:off x="1170432" y="3312161"/>
                            <a:ext cx="3397942" cy="444543"/>
                          </a:xfrm>
                          <a:prstGeom prst="rect">
                            <a:avLst/>
                          </a:prstGeom>
                          <a:ln>
                            <a:noFill/>
                          </a:ln>
                        </wps:spPr>
                        <wps:txbx>
                          <w:txbxContent>
                            <w:p w:rsidR="00B942BD" w:rsidRDefault="004E3912">
                              <w:pPr>
                                <w:spacing w:after="160" w:line="259" w:lineRule="auto"/>
                                <w:ind w:left="0" w:right="0" w:firstLine="0"/>
                              </w:pPr>
                              <w:r>
                                <w:rPr>
                                  <w:b/>
                                  <w:color w:val="FFFEFD"/>
                                  <w:sz w:val="56"/>
                                </w:rPr>
                                <w:t>Town of Moriah</w:t>
                              </w:r>
                            </w:p>
                          </w:txbxContent>
                        </wps:txbx>
                        <wps:bodyPr horzOverflow="overflow" vert="horz" lIns="0" tIns="0" rIns="0" bIns="0" rtlCol="0">
                          <a:noAutofit/>
                        </wps:bodyPr>
                      </wps:wsp>
                      <wps:wsp>
                        <wps:cNvPr id="16" name="Rectangle 16"/>
                        <wps:cNvSpPr/>
                        <wps:spPr>
                          <a:xfrm>
                            <a:off x="1170432" y="4123845"/>
                            <a:ext cx="3524814" cy="381037"/>
                          </a:xfrm>
                          <a:prstGeom prst="rect">
                            <a:avLst/>
                          </a:prstGeom>
                          <a:ln>
                            <a:noFill/>
                          </a:ln>
                        </wps:spPr>
                        <wps:txbx>
                          <w:txbxContent>
                            <w:p w:rsidR="00B942BD" w:rsidRDefault="004E3912">
                              <w:pPr>
                                <w:spacing w:after="160" w:line="259" w:lineRule="auto"/>
                                <w:ind w:left="0" w:right="0" w:firstLine="0"/>
                              </w:pPr>
                              <w:r>
                                <w:rPr>
                                  <w:b/>
                                  <w:color w:val="1F497D"/>
                                  <w:sz w:val="48"/>
                                </w:rPr>
                                <w:t>Cash Management</w:t>
                              </w:r>
                            </w:p>
                          </w:txbxContent>
                        </wps:txbx>
                        <wps:bodyPr horzOverflow="overflow" vert="horz" lIns="0" tIns="0" rIns="0" bIns="0" rtlCol="0">
                          <a:noAutofit/>
                        </wps:bodyPr>
                      </wps:wsp>
                    </wpg:wgp>
                  </a:graphicData>
                </a:graphic>
              </wp:anchor>
            </w:drawing>
          </mc:Choice>
          <mc:Fallback xmlns:a="http://schemas.openxmlformats.org/drawingml/2006/main">
            <w:pict>
              <v:group id="Group 4061" style="width:612pt;height:347.271pt;position:absolute;mso-position-horizontal-relative:page;mso-position-horizontal:absolute;margin-left:0pt;mso-position-vertical-relative:page;margin-top:0pt;" coordsize="77724,44103">
                <v:shape id="Shape 5606" style="position:absolute;width:77724;height:37719;left:0;top:0;" coordsize="7772400,3771900" path="m0,0l7772400,0l7772400,3771900l0,3771900l0,0">
                  <v:stroke weight="0pt" endcap="flat" joinstyle="miter" miterlimit="10" on="false" color="#000000" opacity="0"/>
                  <v:fill on="true" color="#8eb4e3"/>
                </v:shape>
                <v:shape id="Shape 5607" style="position:absolute;width:77724;height:7424;left:0;top:0;" coordsize="7772400,742429" path="m0,0l7772400,0l7772400,742429l0,742429l0,0">
                  <v:stroke weight="0pt" endcap="flat" joinstyle="miter" miterlimit="10" on="false" color="#000000" opacity="0"/>
                  <v:fill on="true" color="#1f497d"/>
                </v:shape>
                <v:rect id="Rectangle 8" style="position:absolute;width:47977;height:2063;left:38082;top:8790;" filled="f" stroked="f">
                  <v:textbox inset="0,0,0,0">
                    <w:txbxContent>
                      <w:p>
                        <w:pPr>
                          <w:spacing w:before="0" w:after="160" w:line="259" w:lineRule="auto"/>
                          <w:ind w:left="0" w:right="0" w:firstLine="0"/>
                        </w:pPr>
                        <w:r>
                          <w:rPr>
                            <w:rFonts w:cs="Arial" w:hAnsi="Arial" w:eastAsia="Arial" w:ascii="Arial"/>
                            <w:b w:val="1"/>
                            <w:color w:val="fffefd"/>
                            <w:sz w:val="26"/>
                          </w:rPr>
                          <w:t xml:space="preserve">REPORT OF EXAMINATION   |  2019M-169</w:t>
                        </w:r>
                      </w:p>
                    </w:txbxContent>
                  </v:textbox>
                </v:rect>
                <v:rect id="Rectangle 9" style="position:absolute;width:62755;height:1587;left:27317;top:5133;" filled="f" stroked="f">
                  <v:textbox inset="0,0,0,0">
                    <w:txbxContent>
                      <w:p>
                        <w:pPr>
                          <w:spacing w:before="0" w:after="160" w:line="259" w:lineRule="auto"/>
                          <w:ind w:left="0" w:right="0" w:firstLine="0"/>
                        </w:pPr>
                        <w:r>
                          <w:rPr>
                            <w:rFonts w:cs="Arial" w:hAnsi="Arial" w:eastAsia="Arial" w:ascii="Arial"/>
                            <w:b w:val="1"/>
                            <w:color w:val="fffefd"/>
                            <w:sz w:val="20"/>
                          </w:rPr>
                          <w:t xml:space="preserve">DIVISION OF LOCAL GOVERNMENT AND SCHOOL ACCOUNTABILITY </w:t>
                        </w:r>
                      </w:p>
                    </w:txbxContent>
                  </v:textbox>
                </v:rect>
                <v:rect id="Rectangle 15" style="position:absolute;width:33979;height:4445;left:11704;top:33121;" filled="f" stroked="f">
                  <v:textbox inset="0,0,0,0">
                    <w:txbxContent>
                      <w:p>
                        <w:pPr>
                          <w:spacing w:before="0" w:after="160" w:line="259" w:lineRule="auto"/>
                          <w:ind w:left="0" w:right="0" w:firstLine="0"/>
                        </w:pPr>
                        <w:r>
                          <w:rPr>
                            <w:rFonts w:cs="Arial" w:hAnsi="Arial" w:eastAsia="Arial" w:ascii="Arial"/>
                            <w:b w:val="1"/>
                            <w:color w:val="fffefd"/>
                            <w:sz w:val="56"/>
                          </w:rPr>
                          <w:t xml:space="preserve">Town of Moriah</w:t>
                        </w:r>
                      </w:p>
                    </w:txbxContent>
                  </v:textbox>
                </v:rect>
                <v:rect id="Rectangle 16" style="position:absolute;width:35248;height:3810;left:11704;top:41238;" filled="f" stroked="f">
                  <v:textbox inset="0,0,0,0">
                    <w:txbxContent>
                      <w:p>
                        <w:pPr>
                          <w:spacing w:before="0" w:after="160" w:line="259" w:lineRule="auto"/>
                          <w:ind w:left="0" w:right="0" w:firstLine="0"/>
                        </w:pPr>
                        <w:r>
                          <w:rPr>
                            <w:rFonts w:cs="Arial" w:hAnsi="Arial" w:eastAsia="Arial" w:ascii="Arial"/>
                            <w:b w:val="1"/>
                            <w:color w:val="1f497d"/>
                            <w:sz w:val="48"/>
                          </w:rPr>
                          <w:t xml:space="preserve">Cash Management</w:t>
                        </w:r>
                      </w:p>
                    </w:txbxContent>
                  </v:textbox>
                </v:rect>
                <w10:wrap type="topAndBottom"/>
              </v:group>
            </w:pict>
          </mc:Fallback>
        </mc:AlternateContent>
      </w: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8432800</wp:posOffset>
            </wp:positionV>
            <wp:extent cx="7772400" cy="1618488"/>
            <wp:effectExtent l="0" t="0" r="0" b="0"/>
            <wp:wrapTopAndBottom/>
            <wp:docPr id="5379" name="Picture 5379"/>
            <wp:cNvGraphicFramePr/>
            <a:graphic xmlns:a="http://schemas.openxmlformats.org/drawingml/2006/main">
              <a:graphicData uri="http://schemas.openxmlformats.org/drawingml/2006/picture">
                <pic:pic xmlns:pic="http://schemas.openxmlformats.org/drawingml/2006/picture">
                  <pic:nvPicPr>
                    <pic:cNvPr id="5379" name="Picture 5379"/>
                    <pic:cNvPicPr/>
                  </pic:nvPicPr>
                  <pic:blipFill>
                    <a:blip r:embed="rId7"/>
                    <a:stretch>
                      <a:fillRect/>
                    </a:stretch>
                  </pic:blipFill>
                  <pic:spPr>
                    <a:xfrm>
                      <a:off x="0" y="0"/>
                      <a:ext cx="7772400" cy="1618488"/>
                    </a:xfrm>
                    <a:prstGeom prst="rect">
                      <a:avLst/>
                    </a:prstGeom>
                  </pic:spPr>
                </pic:pic>
              </a:graphicData>
            </a:graphic>
          </wp:anchor>
        </w:drawing>
      </w:r>
      <w:r>
        <w:rPr>
          <w:b/>
          <w:color w:val="1F497D"/>
          <w:sz w:val="24"/>
        </w:rPr>
        <w:t>NOVEMBER 2019</w:t>
      </w:r>
      <w:r>
        <w:br w:type="page"/>
      </w:r>
    </w:p>
    <w:p w:rsidR="00B942BD" w:rsidRDefault="004E3912">
      <w:pPr>
        <w:pStyle w:val="Heading1"/>
      </w:pPr>
      <w:r>
        <w:lastRenderedPageBreak/>
        <w:t>Contents</w:t>
      </w:r>
    </w:p>
    <w:p w:rsidR="00B942BD" w:rsidRDefault="004E3912">
      <w:pPr>
        <w:spacing w:after="1160" w:line="259" w:lineRule="auto"/>
        <w:ind w:left="0" w:right="-2100" w:firstLine="0"/>
      </w:pPr>
      <w:r>
        <w:rPr>
          <w:rFonts w:ascii="Calibri" w:eastAsia="Calibri" w:hAnsi="Calibri" w:cs="Calibri"/>
          <w:noProof/>
          <w:color w:val="000000"/>
        </w:rPr>
        <mc:AlternateContent>
          <mc:Choice Requires="wpg">
            <w:drawing>
              <wp:inline distT="0" distB="0" distL="0" distR="0">
                <wp:extent cx="6400800" cy="25400"/>
                <wp:effectExtent l="0" t="0" r="0" b="0"/>
                <wp:docPr id="4069" name="Group 4069"/>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19" name="Shape 19"/>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69" style="width:504pt;height:2pt;mso-position-horizontal-relative:char;mso-position-vertical-relative:line" coordsize="64008,254">
                <v:shape id="Shape 19" style="position:absolute;width:64008;height:0;left:0;top:0;" coordsize="6400800,0" path="m0,0l6400800,0">
                  <v:stroke weight="2pt" endcap="flat" joinstyle="miter" miterlimit="4" on="true" color="#558ed5"/>
                  <v:fill on="false" color="#000000" opacity="0"/>
                </v:shape>
              </v:group>
            </w:pict>
          </mc:Fallback>
        </mc:AlternateContent>
      </w:r>
    </w:p>
    <w:p w:rsidR="00B942BD" w:rsidRDefault="004E3912">
      <w:pPr>
        <w:spacing w:after="456"/>
        <w:ind w:left="-5" w:right="-15"/>
      </w:pPr>
      <w:r>
        <w:rPr>
          <w:b/>
          <w:sz w:val="24"/>
        </w:rPr>
        <w:t>Report Highlights</w:t>
      </w:r>
      <w:r>
        <w:rPr>
          <w:b/>
          <w:sz w:val="24"/>
        </w:rPr>
        <w:t xml:space="preserve">   .  .  .  .  .  .  .  .  .  .  .  .  .  .  .  .  .  .  .  .  .  .  .  .  .  .  .  . 1</w:t>
      </w:r>
    </w:p>
    <w:p w:rsidR="00B942BD" w:rsidRDefault="004E3912">
      <w:pPr>
        <w:spacing w:after="216"/>
        <w:ind w:left="-5" w:right="-15"/>
      </w:pPr>
      <w:r>
        <w:rPr>
          <w:b/>
          <w:sz w:val="24"/>
        </w:rPr>
        <w:t>Cash Management  .  .  .  .  .  .  .  .  .  .  .  .  .  .  .  .  .  .  .  .  .  .  .  .  .  .  .  . 2</w:t>
      </w:r>
    </w:p>
    <w:p w:rsidR="00B942BD" w:rsidRDefault="004E3912">
      <w:pPr>
        <w:spacing w:after="222" w:line="259" w:lineRule="auto"/>
        <w:ind w:right="-15"/>
        <w:jc w:val="right"/>
      </w:pPr>
      <w:r>
        <w:rPr>
          <w:sz w:val="24"/>
        </w:rPr>
        <w:t>How Do Officials Ensure Interest Earnings Are Maximized?</w:t>
      </w:r>
      <w:r>
        <w:rPr>
          <w:sz w:val="24"/>
        </w:rPr>
        <w:t xml:space="preserve">   .  .  .</w:t>
      </w:r>
      <w:r>
        <w:rPr>
          <w:sz w:val="24"/>
        </w:rPr>
        <w:t xml:space="preserve">  .  . 2</w:t>
      </w:r>
    </w:p>
    <w:p w:rsidR="00B942BD" w:rsidRDefault="004E3912">
      <w:pPr>
        <w:spacing w:after="222" w:line="259" w:lineRule="auto"/>
        <w:ind w:right="-15"/>
        <w:jc w:val="right"/>
      </w:pPr>
      <w:r>
        <w:rPr>
          <w:sz w:val="24"/>
        </w:rPr>
        <w:t>Officials Did Not Ensure Interest Earnings Were Maximized</w:t>
      </w:r>
      <w:r>
        <w:rPr>
          <w:sz w:val="24"/>
        </w:rPr>
        <w:t xml:space="preserve">   .  .  .  .  . 2</w:t>
      </w:r>
    </w:p>
    <w:p w:rsidR="00B942BD" w:rsidRDefault="004E3912">
      <w:pPr>
        <w:spacing w:after="462" w:line="259" w:lineRule="auto"/>
        <w:ind w:left="0" w:right="0" w:firstLine="0"/>
        <w:jc w:val="right"/>
      </w:pPr>
      <w:r>
        <w:rPr>
          <w:sz w:val="24"/>
        </w:rPr>
        <w:t>What Do We Recommend?</w:t>
      </w:r>
      <w:r>
        <w:rPr>
          <w:sz w:val="24"/>
        </w:rPr>
        <w:t xml:space="preserve">  .  .  .  .  .  .  .  .  .  .  .  .  .  .  .  .  .  .  .  .  .  . 3</w:t>
      </w:r>
    </w:p>
    <w:p w:rsidR="00B942BD" w:rsidRDefault="004E3912">
      <w:pPr>
        <w:spacing w:after="456"/>
        <w:ind w:left="-5" w:right="0"/>
      </w:pPr>
      <w:r>
        <w:rPr>
          <w:b/>
          <w:sz w:val="24"/>
        </w:rPr>
        <w:t xml:space="preserve">Appendix A – Response From Town Officials  .  .  .  .  .  .  .  .  .  .  .  .  . </w:t>
      </w:r>
      <w:r>
        <w:rPr>
          <w:b/>
          <w:sz w:val="24"/>
        </w:rPr>
        <w:t>4</w:t>
      </w:r>
    </w:p>
    <w:p w:rsidR="00B942BD" w:rsidRDefault="004E3912">
      <w:pPr>
        <w:spacing w:after="456"/>
        <w:ind w:left="-5" w:right="-15"/>
      </w:pPr>
      <w:r>
        <w:rPr>
          <w:b/>
          <w:sz w:val="24"/>
        </w:rPr>
        <w:t>Appendix B – Audit Methodology and Standards  .  .  .  .  .  .  .  .  .  .  . 5</w:t>
      </w:r>
    </w:p>
    <w:p w:rsidR="00B942BD" w:rsidRDefault="004E3912">
      <w:pPr>
        <w:spacing w:after="456"/>
        <w:ind w:left="-5" w:right="-15"/>
      </w:pPr>
      <w:r>
        <w:rPr>
          <w:b/>
          <w:sz w:val="24"/>
        </w:rPr>
        <w:lastRenderedPageBreak/>
        <w:t>Appendix C – Resources and Services  .  .  .  .  .  .  .  .  .  .  .  .  .  .  .  .  . 6</w:t>
      </w:r>
    </w:p>
    <w:p w:rsidR="00B942BD" w:rsidRDefault="00B942BD">
      <w:pPr>
        <w:sectPr w:rsidR="00B942BD">
          <w:footerReference w:type="even" r:id="rId8"/>
          <w:footerReference w:type="default" r:id="rId9"/>
          <w:footerReference w:type="first" r:id="rId10"/>
          <w:pgSz w:w="12240" w:h="15840"/>
          <w:pgMar w:top="1080" w:right="3180" w:bottom="8123" w:left="1080" w:header="720" w:footer="720" w:gutter="0"/>
          <w:cols w:space="720"/>
        </w:sectPr>
      </w:pPr>
    </w:p>
    <w:p w:rsidR="00B942BD" w:rsidRDefault="004E3912">
      <w:pPr>
        <w:spacing w:after="0" w:line="259" w:lineRule="auto"/>
        <w:ind w:left="0" w:right="0" w:firstLine="0"/>
      </w:pPr>
      <w:r>
        <w:rPr>
          <w:color w:val="F79646"/>
          <w:sz w:val="48"/>
        </w:rPr>
        <w:lastRenderedPageBreak/>
        <w:t>Report Highlights</w:t>
      </w:r>
    </w:p>
    <w:p w:rsidR="00B942BD" w:rsidRDefault="004E3912">
      <w:pPr>
        <w:pBdr>
          <w:top w:val="single" w:sz="16" w:space="0" w:color="558ED5"/>
        </w:pBdr>
        <w:shd w:val="clear" w:color="auto" w:fill="558ED5"/>
        <w:spacing w:after="513" w:line="259" w:lineRule="auto"/>
        <w:ind w:left="180" w:right="0" w:firstLine="0"/>
      </w:pPr>
      <w:r>
        <w:rPr>
          <w:b/>
          <w:color w:val="FFFEFD"/>
          <w:sz w:val="23"/>
        </w:rPr>
        <w:t>Town of Moriah</w:t>
      </w:r>
    </w:p>
    <w:tbl>
      <w:tblPr>
        <w:tblStyle w:val="TableGrid"/>
        <w:tblpPr w:vertAnchor="text" w:tblpX="6091" w:tblpY="12"/>
        <w:tblOverlap w:val="never"/>
        <w:tblW w:w="3989" w:type="dxa"/>
        <w:tblInd w:w="0" w:type="dxa"/>
        <w:tblCellMar>
          <w:top w:w="0" w:type="dxa"/>
          <w:left w:w="202" w:type="dxa"/>
          <w:bottom w:w="0" w:type="dxa"/>
          <w:right w:w="115" w:type="dxa"/>
        </w:tblCellMar>
        <w:tblLook w:val="04A0" w:firstRow="1" w:lastRow="0" w:firstColumn="1" w:lastColumn="0" w:noHBand="0" w:noVBand="1"/>
      </w:tblPr>
      <w:tblGrid>
        <w:gridCol w:w="3989"/>
      </w:tblGrid>
      <w:tr w:rsidR="00B942BD">
        <w:trPr>
          <w:trHeight w:val="11754"/>
        </w:trPr>
        <w:tc>
          <w:tcPr>
            <w:tcW w:w="3989" w:type="dxa"/>
            <w:tcBorders>
              <w:top w:val="nil"/>
              <w:left w:val="nil"/>
              <w:bottom w:val="nil"/>
              <w:right w:val="nil"/>
            </w:tcBorders>
            <w:shd w:val="clear" w:color="auto" w:fill="C6D9F1"/>
            <w:vAlign w:val="center"/>
          </w:tcPr>
          <w:p w:rsidR="00B942BD" w:rsidRDefault="004E3912">
            <w:pPr>
              <w:spacing w:after="87" w:line="259" w:lineRule="auto"/>
              <w:ind w:left="78" w:right="0" w:firstLine="0"/>
            </w:pPr>
            <w:r>
              <w:rPr>
                <w:b/>
                <w:color w:val="1F497D"/>
                <w:sz w:val="30"/>
              </w:rPr>
              <w:t>Background</w:t>
            </w:r>
          </w:p>
          <w:p w:rsidR="00B942BD" w:rsidRDefault="004E3912">
            <w:pPr>
              <w:spacing w:after="180" w:line="266" w:lineRule="auto"/>
              <w:ind w:left="78" w:right="0" w:firstLine="0"/>
            </w:pPr>
            <w:r>
              <w:t xml:space="preserve">The Town of Moriah (Town) is located in Essex County. </w:t>
            </w:r>
          </w:p>
          <w:p w:rsidR="00B942BD" w:rsidRDefault="004E3912">
            <w:pPr>
              <w:spacing w:after="0" w:line="266" w:lineRule="auto"/>
              <w:ind w:left="78" w:right="284" w:firstLine="0"/>
            </w:pPr>
            <w:r>
              <w:t>An elected five-member Town Board (Board), which is composed of the Town Supervisor (Supervisor) and four Board members, is responsible for the general overs</w:t>
            </w:r>
            <w:r>
              <w:t xml:space="preserve">ight of the Town’s operations and finances. The </w:t>
            </w:r>
          </w:p>
          <w:p w:rsidR="00B942BD" w:rsidRDefault="004E3912">
            <w:pPr>
              <w:spacing w:after="180" w:line="266" w:lineRule="auto"/>
              <w:ind w:left="78" w:right="186" w:firstLine="0"/>
            </w:pPr>
            <w:r>
              <w:t>Supervisor, as chief fiscal officer, is responsible for receiving, disbursing, investing and retaining custody of Town money and providing financial reports to the Board.</w:t>
            </w:r>
          </w:p>
          <w:p w:rsidR="00B942BD" w:rsidRDefault="004E3912">
            <w:pPr>
              <w:spacing w:after="0" w:line="259" w:lineRule="auto"/>
              <w:ind w:left="78" w:right="222" w:firstLine="0"/>
            </w:pPr>
            <w:r>
              <w:t>The Town has funds on deposit at one financial institution. Bank accounts are maintained for operating and capital projects funds, a nonexpendable trust fund and departmental funds (i.e., Town Clerk, Tax Collector and Town Justices).</w:t>
            </w:r>
          </w:p>
          <w:tbl>
            <w:tblPr>
              <w:tblStyle w:val="TableGrid"/>
              <w:tblW w:w="3547" w:type="dxa"/>
              <w:tblInd w:w="0" w:type="dxa"/>
              <w:tblCellMar>
                <w:top w:w="107" w:type="dxa"/>
                <w:left w:w="0" w:type="dxa"/>
                <w:bottom w:w="0" w:type="dxa"/>
                <w:right w:w="80" w:type="dxa"/>
              </w:tblCellMar>
              <w:tblLook w:val="04A0" w:firstRow="1" w:lastRow="0" w:firstColumn="1" w:lastColumn="0" w:noHBand="0" w:noVBand="1"/>
            </w:tblPr>
            <w:tblGrid>
              <w:gridCol w:w="2658"/>
              <w:gridCol w:w="889"/>
            </w:tblGrid>
            <w:tr w:rsidR="00B942BD">
              <w:trPr>
                <w:trHeight w:val="360"/>
              </w:trPr>
              <w:tc>
                <w:tcPr>
                  <w:tcW w:w="2658" w:type="dxa"/>
                  <w:tcBorders>
                    <w:top w:val="nil"/>
                    <w:left w:val="nil"/>
                    <w:bottom w:val="nil"/>
                    <w:right w:val="nil"/>
                  </w:tcBorders>
                  <w:shd w:val="clear" w:color="auto" w:fill="558ED5"/>
                </w:tcPr>
                <w:p w:rsidR="00B942BD" w:rsidRDefault="004E3912">
                  <w:pPr>
                    <w:framePr w:wrap="around" w:vAnchor="text" w:hAnchor="text" w:x="6091" w:y="12"/>
                    <w:spacing w:after="0" w:line="259" w:lineRule="auto"/>
                    <w:ind w:left="80" w:right="0" w:firstLine="0"/>
                    <w:suppressOverlap/>
                  </w:pPr>
                  <w:r>
                    <w:rPr>
                      <w:b/>
                      <w:color w:val="FFFEFD"/>
                      <w:sz w:val="20"/>
                    </w:rPr>
                    <w:t>Quick Facts</w:t>
                  </w:r>
                </w:p>
              </w:tc>
              <w:tc>
                <w:tcPr>
                  <w:tcW w:w="889" w:type="dxa"/>
                  <w:tcBorders>
                    <w:top w:val="nil"/>
                    <w:left w:val="nil"/>
                    <w:bottom w:val="nil"/>
                    <w:right w:val="nil"/>
                  </w:tcBorders>
                  <w:shd w:val="clear" w:color="auto" w:fill="558ED5"/>
                </w:tcPr>
                <w:p w:rsidR="00B942BD" w:rsidRDefault="00B942BD">
                  <w:pPr>
                    <w:framePr w:wrap="around" w:vAnchor="text" w:hAnchor="text" w:x="6091" w:y="12"/>
                    <w:spacing w:after="160" w:line="259" w:lineRule="auto"/>
                    <w:ind w:left="0" w:right="0" w:firstLine="0"/>
                    <w:suppressOverlap/>
                  </w:pPr>
                </w:p>
              </w:tc>
            </w:tr>
            <w:tr w:rsidR="00B942BD">
              <w:trPr>
                <w:trHeight w:val="433"/>
              </w:trPr>
              <w:tc>
                <w:tcPr>
                  <w:tcW w:w="2658" w:type="dxa"/>
                  <w:tcBorders>
                    <w:top w:val="nil"/>
                    <w:left w:val="nil"/>
                    <w:bottom w:val="single" w:sz="8" w:space="0" w:color="558ED5"/>
                    <w:right w:val="nil"/>
                  </w:tcBorders>
                  <w:vAlign w:val="center"/>
                </w:tcPr>
                <w:p w:rsidR="00B942BD" w:rsidRDefault="004E3912">
                  <w:pPr>
                    <w:framePr w:wrap="around" w:vAnchor="text" w:hAnchor="text" w:x="6091" w:y="12"/>
                    <w:spacing w:after="0" w:line="259" w:lineRule="auto"/>
                    <w:ind w:left="80" w:right="0" w:firstLine="0"/>
                    <w:suppressOverlap/>
                  </w:pPr>
                  <w:r>
                    <w:rPr>
                      <w:b/>
                      <w:sz w:val="16"/>
                    </w:rPr>
                    <w:t>Populati</w:t>
                  </w:r>
                  <w:r>
                    <w:rPr>
                      <w:b/>
                      <w:sz w:val="16"/>
                    </w:rPr>
                    <w:t>on</w:t>
                  </w:r>
                </w:p>
              </w:tc>
              <w:tc>
                <w:tcPr>
                  <w:tcW w:w="889" w:type="dxa"/>
                  <w:tcBorders>
                    <w:top w:val="nil"/>
                    <w:left w:val="nil"/>
                    <w:bottom w:val="single" w:sz="8" w:space="0" w:color="558ED5"/>
                    <w:right w:val="nil"/>
                  </w:tcBorders>
                  <w:vAlign w:val="center"/>
                </w:tcPr>
                <w:p w:rsidR="00B942BD" w:rsidRDefault="004E3912">
                  <w:pPr>
                    <w:framePr w:wrap="around" w:vAnchor="text" w:hAnchor="text" w:x="6091" w:y="12"/>
                    <w:spacing w:after="0" w:line="259" w:lineRule="auto"/>
                    <w:ind w:left="0" w:right="0" w:firstLine="0"/>
                    <w:suppressOverlap/>
                    <w:jc w:val="right"/>
                  </w:pPr>
                  <w:r>
                    <w:rPr>
                      <w:sz w:val="16"/>
                    </w:rPr>
                    <w:t>4,800</w:t>
                  </w:r>
                </w:p>
              </w:tc>
            </w:tr>
            <w:tr w:rsidR="00B942BD">
              <w:trPr>
                <w:trHeight w:val="618"/>
              </w:trPr>
              <w:tc>
                <w:tcPr>
                  <w:tcW w:w="2658" w:type="dxa"/>
                  <w:tcBorders>
                    <w:top w:val="single" w:sz="8" w:space="0" w:color="558ED5"/>
                    <w:left w:val="nil"/>
                    <w:bottom w:val="single" w:sz="8" w:space="0" w:color="558ED5"/>
                    <w:right w:val="nil"/>
                  </w:tcBorders>
                  <w:vAlign w:val="center"/>
                </w:tcPr>
                <w:p w:rsidR="00B942BD" w:rsidRDefault="004E3912">
                  <w:pPr>
                    <w:framePr w:wrap="around" w:vAnchor="text" w:hAnchor="text" w:x="6091" w:y="12"/>
                    <w:spacing w:after="0" w:line="259" w:lineRule="auto"/>
                    <w:ind w:left="80" w:right="0" w:firstLine="0"/>
                    <w:suppressOverlap/>
                  </w:pPr>
                  <w:r>
                    <w:rPr>
                      <w:b/>
                      <w:sz w:val="16"/>
                    </w:rPr>
                    <w:t>Adopted Appropriations</w:t>
                  </w:r>
                </w:p>
              </w:tc>
              <w:tc>
                <w:tcPr>
                  <w:tcW w:w="889" w:type="dxa"/>
                  <w:tcBorders>
                    <w:top w:val="single" w:sz="8" w:space="0" w:color="558ED5"/>
                    <w:left w:val="nil"/>
                    <w:bottom w:val="single" w:sz="8" w:space="0" w:color="558ED5"/>
                    <w:right w:val="nil"/>
                  </w:tcBorders>
                  <w:vAlign w:val="center"/>
                </w:tcPr>
                <w:p w:rsidR="00B942BD" w:rsidRDefault="004E3912">
                  <w:pPr>
                    <w:framePr w:wrap="around" w:vAnchor="text" w:hAnchor="text" w:x="6091" w:y="12"/>
                    <w:spacing w:after="0" w:line="259" w:lineRule="auto"/>
                    <w:ind w:left="0" w:right="0" w:firstLine="0"/>
                    <w:suppressOverlap/>
                  </w:pPr>
                  <w:r>
                    <w:rPr>
                      <w:sz w:val="16"/>
                    </w:rPr>
                    <w:t>$5.2 million</w:t>
                  </w:r>
                </w:p>
              </w:tc>
            </w:tr>
            <w:tr w:rsidR="00B942BD">
              <w:trPr>
                <w:trHeight w:val="1010"/>
              </w:trPr>
              <w:tc>
                <w:tcPr>
                  <w:tcW w:w="2658" w:type="dxa"/>
                  <w:tcBorders>
                    <w:top w:val="single" w:sz="8" w:space="0" w:color="558ED5"/>
                    <w:left w:val="nil"/>
                    <w:bottom w:val="single" w:sz="8" w:space="0" w:color="558ED5"/>
                    <w:right w:val="nil"/>
                  </w:tcBorders>
                  <w:vAlign w:val="center"/>
                </w:tcPr>
                <w:p w:rsidR="00B942BD" w:rsidRDefault="004E3912">
                  <w:pPr>
                    <w:framePr w:wrap="around" w:vAnchor="text" w:hAnchor="text" w:x="6091" w:y="12"/>
                    <w:spacing w:after="1" w:line="259" w:lineRule="auto"/>
                    <w:ind w:left="80" w:right="0" w:firstLine="0"/>
                    <w:suppressOverlap/>
                  </w:pPr>
                  <w:r>
                    <w:rPr>
                      <w:b/>
                      <w:sz w:val="16"/>
                    </w:rPr>
                    <w:t xml:space="preserve">Interest Earnings During the </w:t>
                  </w:r>
                </w:p>
                <w:p w:rsidR="00B942BD" w:rsidRDefault="004E3912">
                  <w:pPr>
                    <w:framePr w:wrap="around" w:vAnchor="text" w:hAnchor="text" w:x="6091" w:y="12"/>
                    <w:spacing w:after="1" w:line="259" w:lineRule="auto"/>
                    <w:ind w:left="80" w:right="0" w:firstLine="0"/>
                    <w:suppressOverlap/>
                  </w:pPr>
                  <w:r>
                    <w:rPr>
                      <w:b/>
                      <w:sz w:val="16"/>
                    </w:rPr>
                    <w:t xml:space="preserve">Audit Period (Operating and </w:t>
                  </w:r>
                </w:p>
                <w:p w:rsidR="00B942BD" w:rsidRDefault="004E3912">
                  <w:pPr>
                    <w:framePr w:wrap="around" w:vAnchor="text" w:hAnchor="text" w:x="6091" w:y="12"/>
                    <w:spacing w:after="0" w:line="259" w:lineRule="auto"/>
                    <w:ind w:left="80" w:right="0" w:firstLine="0"/>
                    <w:suppressOverlap/>
                  </w:pPr>
                  <w:r>
                    <w:rPr>
                      <w:b/>
                      <w:sz w:val="16"/>
                    </w:rPr>
                    <w:t>Capital Projects Funds)</w:t>
                  </w:r>
                </w:p>
              </w:tc>
              <w:tc>
                <w:tcPr>
                  <w:tcW w:w="889" w:type="dxa"/>
                  <w:tcBorders>
                    <w:top w:val="single" w:sz="8" w:space="0" w:color="558ED5"/>
                    <w:left w:val="nil"/>
                    <w:bottom w:val="single" w:sz="8" w:space="0" w:color="558ED5"/>
                    <w:right w:val="nil"/>
                  </w:tcBorders>
                  <w:vAlign w:val="center"/>
                </w:tcPr>
                <w:p w:rsidR="00B942BD" w:rsidRDefault="004E3912">
                  <w:pPr>
                    <w:framePr w:wrap="around" w:vAnchor="text" w:hAnchor="text" w:x="6091" w:y="12"/>
                    <w:spacing w:after="0" w:line="259" w:lineRule="auto"/>
                    <w:ind w:left="0" w:right="0" w:firstLine="0"/>
                    <w:suppressOverlap/>
                    <w:jc w:val="right"/>
                  </w:pPr>
                  <w:r>
                    <w:rPr>
                      <w:sz w:val="16"/>
                    </w:rPr>
                    <w:t>$4,703</w:t>
                  </w:r>
                </w:p>
              </w:tc>
            </w:tr>
          </w:tbl>
          <w:p w:rsidR="00B942BD" w:rsidRDefault="004E3912">
            <w:pPr>
              <w:spacing w:after="87" w:line="259" w:lineRule="auto"/>
              <w:ind w:left="78" w:right="0" w:firstLine="0"/>
            </w:pPr>
            <w:r>
              <w:rPr>
                <w:b/>
                <w:color w:val="1F497D"/>
                <w:sz w:val="30"/>
              </w:rPr>
              <w:t>Audit Period</w:t>
            </w:r>
          </w:p>
          <w:p w:rsidR="00B942BD" w:rsidRDefault="004E3912">
            <w:pPr>
              <w:spacing w:after="0" w:line="259" w:lineRule="auto"/>
              <w:ind w:left="78" w:right="0" w:firstLine="0"/>
            </w:pPr>
            <w:r>
              <w:t>January 1, 2018 – May 31, 2019</w:t>
            </w:r>
          </w:p>
        </w:tc>
      </w:tr>
    </w:tbl>
    <w:p w:rsidR="00B942BD" w:rsidRDefault="004E3912">
      <w:pPr>
        <w:pStyle w:val="Heading2"/>
        <w:spacing w:after="87"/>
        <w:ind w:left="-5"/>
      </w:pPr>
      <w:r>
        <w:rPr>
          <w:b/>
          <w:color w:val="1F497D"/>
          <w:sz w:val="30"/>
        </w:rPr>
        <w:t>Audit Objective</w:t>
      </w:r>
    </w:p>
    <w:p w:rsidR="00B942BD" w:rsidRDefault="004E3912">
      <w:pPr>
        <w:spacing w:after="400"/>
        <w:ind w:left="-3" w:right="690"/>
      </w:pPr>
      <w:r>
        <w:t>Determine whether Town officials maximized interest earnings.</w:t>
      </w:r>
    </w:p>
    <w:p w:rsidR="00B942BD" w:rsidRDefault="004E3912">
      <w:pPr>
        <w:pStyle w:val="Heading2"/>
        <w:spacing w:after="29"/>
        <w:ind w:left="0" w:firstLine="0"/>
      </w:pPr>
      <w:r>
        <w:rPr>
          <w:b/>
          <w:color w:val="1F497D"/>
          <w:sz w:val="30"/>
        </w:rPr>
        <w:t>Key Findings</w:t>
      </w:r>
    </w:p>
    <w:p w:rsidR="00B942BD" w:rsidRDefault="004E3912">
      <w:pPr>
        <w:spacing w:after="36"/>
        <w:ind w:left="250" w:right="690"/>
      </w:pPr>
      <w:r>
        <w:rPr>
          <w:rFonts w:ascii="Wingdings" w:eastAsia="Wingdings" w:hAnsi="Wingdings" w:cs="Wingdings"/>
          <w:color w:val="F79646"/>
          <w:sz w:val="17"/>
        </w:rPr>
        <w:t></w:t>
      </w:r>
      <w:r>
        <w:rPr>
          <w:color w:val="F79646"/>
          <w:sz w:val="17"/>
        </w:rPr>
        <w:t xml:space="preserve"> </w:t>
      </w:r>
      <w:r>
        <w:t xml:space="preserve">The Board did not develop and manage a comprehensive investment program to ensure interest earnings were maximized. </w:t>
      </w:r>
      <w:r>
        <w:rPr>
          <w:rFonts w:ascii="Wingdings" w:eastAsia="Wingdings" w:hAnsi="Wingdings" w:cs="Wingdings"/>
          <w:color w:val="F79646"/>
          <w:sz w:val="17"/>
        </w:rPr>
        <w:t></w:t>
      </w:r>
      <w:r>
        <w:rPr>
          <w:color w:val="F79646"/>
          <w:sz w:val="17"/>
        </w:rPr>
        <w:t xml:space="preserve"> </w:t>
      </w:r>
      <w:r>
        <w:t xml:space="preserve">Had the Supervisor invested available funds in a </w:t>
      </w:r>
    </w:p>
    <w:p w:rsidR="00B942BD" w:rsidRDefault="004E3912">
      <w:pPr>
        <w:spacing w:after="400"/>
        <w:ind w:left="490" w:right="690"/>
      </w:pPr>
      <w:r>
        <w:t>financial i</w:t>
      </w:r>
      <w:r>
        <w:t>nstitution with higher available interest rates, revenue would have increased by $80,688 during the audit period.</w:t>
      </w:r>
    </w:p>
    <w:p w:rsidR="00B942BD" w:rsidRDefault="004E3912">
      <w:pPr>
        <w:pStyle w:val="Heading2"/>
        <w:spacing w:after="28"/>
        <w:ind w:left="-5"/>
      </w:pPr>
      <w:r>
        <w:rPr>
          <w:b/>
          <w:color w:val="1F497D"/>
          <w:sz w:val="30"/>
        </w:rPr>
        <w:t>Key Recommendations</w:t>
      </w:r>
    </w:p>
    <w:p w:rsidR="00B942BD" w:rsidRDefault="004E3912">
      <w:pPr>
        <w:spacing w:after="0" w:line="323" w:lineRule="auto"/>
        <w:ind w:left="250" w:right="690"/>
      </w:pPr>
      <w:r>
        <w:rPr>
          <w:rFonts w:ascii="Wingdings" w:eastAsia="Wingdings" w:hAnsi="Wingdings" w:cs="Wingdings"/>
          <w:color w:val="F79646"/>
          <w:sz w:val="17"/>
        </w:rPr>
        <w:t></w:t>
      </w:r>
      <w:r>
        <w:rPr>
          <w:color w:val="F79646"/>
          <w:sz w:val="17"/>
        </w:rPr>
        <w:t xml:space="preserve"> </w:t>
      </w:r>
      <w:r>
        <w:t xml:space="preserve">Periodically solicit interest rate quotes from multiple financial institutions. </w:t>
      </w:r>
      <w:r>
        <w:rPr>
          <w:rFonts w:ascii="Wingdings" w:eastAsia="Wingdings" w:hAnsi="Wingdings" w:cs="Wingdings"/>
          <w:color w:val="F79646"/>
          <w:sz w:val="17"/>
        </w:rPr>
        <w:t></w:t>
      </w:r>
      <w:r>
        <w:rPr>
          <w:color w:val="F79646"/>
          <w:sz w:val="17"/>
        </w:rPr>
        <w:t xml:space="preserve"> </w:t>
      </w:r>
      <w:r>
        <w:t xml:space="preserve">Prepare monthly cash flow forecasts that estimate available funds for investment. </w:t>
      </w:r>
      <w:r>
        <w:rPr>
          <w:rFonts w:ascii="Wingdings" w:eastAsia="Wingdings" w:hAnsi="Wingdings" w:cs="Wingdings"/>
          <w:color w:val="F79646"/>
          <w:sz w:val="17"/>
        </w:rPr>
        <w:t></w:t>
      </w:r>
      <w:r>
        <w:rPr>
          <w:color w:val="F79646"/>
          <w:sz w:val="17"/>
        </w:rPr>
        <w:t xml:space="preserve"> </w:t>
      </w:r>
      <w:r>
        <w:t xml:space="preserve">Ensure available funds are invested in a manner, </w:t>
      </w:r>
    </w:p>
    <w:p w:rsidR="00B942BD" w:rsidRDefault="004E3912">
      <w:pPr>
        <w:spacing w:after="187" w:line="259" w:lineRule="auto"/>
        <w:ind w:left="0" w:right="3031" w:firstLine="0"/>
        <w:jc w:val="center"/>
      </w:pPr>
      <w:r>
        <w:t>within legal limits, to maximize interest earnings.</w:t>
      </w:r>
    </w:p>
    <w:p w:rsidR="00B942BD" w:rsidRDefault="004E3912">
      <w:pPr>
        <w:ind w:left="-3" w:right="690"/>
      </w:pPr>
      <w:r>
        <w:t>Town officials generally agreed with our recommendations and have init</w:t>
      </w:r>
      <w:r>
        <w:t xml:space="preserve">iated, or indicated they planned to initiate, corrective action.   </w:t>
      </w:r>
    </w:p>
    <w:p w:rsidR="00B942BD" w:rsidRDefault="004E3912">
      <w:pPr>
        <w:pStyle w:val="Heading2"/>
        <w:ind w:left="-3"/>
      </w:pPr>
      <w:r>
        <w:t>Cash Management</w:t>
      </w:r>
    </w:p>
    <w:p w:rsidR="00B942BD" w:rsidRDefault="004E3912">
      <w:pPr>
        <w:spacing w:after="460" w:line="259" w:lineRule="auto"/>
        <w:ind w:left="0" w:right="-1395" w:firstLine="0"/>
      </w:pPr>
      <w:r>
        <w:rPr>
          <w:rFonts w:ascii="Calibri" w:eastAsia="Calibri" w:hAnsi="Calibri" w:cs="Calibri"/>
          <w:noProof/>
          <w:color w:val="000000"/>
        </w:rPr>
        <mc:AlternateContent>
          <mc:Choice Requires="wpg">
            <w:drawing>
              <wp:inline distT="0" distB="0" distL="0" distR="0">
                <wp:extent cx="6400800" cy="25400"/>
                <wp:effectExtent l="0" t="0" r="0" b="0"/>
                <wp:docPr id="4130" name="Group 4130"/>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138" name="Shape 138"/>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30" style="width:504pt;height:2pt;mso-position-horizontal-relative:char;mso-position-vertical-relative:line" coordsize="64008,254">
                <v:shape id="Shape 138" style="position:absolute;width:64008;height:0;left:0;top:0;" coordsize="6400800,0" path="m0,0l6400800,0">
                  <v:stroke weight="2pt" endcap="flat" joinstyle="miter" miterlimit="4" on="true" color="#558ed5"/>
                  <v:fill on="false" color="#000000" opacity="0"/>
                </v:shape>
              </v:group>
            </w:pict>
          </mc:Fallback>
        </mc:AlternateContent>
      </w:r>
    </w:p>
    <w:p w:rsidR="00B942BD" w:rsidRDefault="004E3912">
      <w:pPr>
        <w:spacing w:after="156"/>
        <w:ind w:left="-5" w:right="0"/>
      </w:pPr>
      <w:r>
        <w:rPr>
          <w:b/>
          <w:sz w:val="24"/>
        </w:rPr>
        <w:lastRenderedPageBreak/>
        <w:t>How Do Officials Ensure Interest Earnings Are Maximized?</w:t>
      </w:r>
    </w:p>
    <w:p w:rsidR="00B942BD" w:rsidRDefault="004E3912">
      <w:pPr>
        <w:spacing w:after="360"/>
        <w:ind w:left="-3" w:right="848"/>
      </w:pPr>
      <w:r>
        <w:t>The board should develop and manage a comprehensive investment program. A comprehensive program should include th</w:t>
      </w:r>
      <w:r>
        <w:t>e board adopting and annually reviewing an investment policy in accordance with New York State General Municipal Law</w:t>
      </w:r>
      <w:r>
        <w:rPr>
          <w:sz w:val="20"/>
          <w:vertAlign w:val="superscript"/>
        </w:rPr>
        <w:footnoteReference w:id="1"/>
      </w:r>
      <w:r>
        <w:t xml:space="preserve"> (GML), soliciting interest rate quotes from multiple financial institutions, preparing monthly cash flow forecasts to estimate available f</w:t>
      </w:r>
      <w:r>
        <w:t xml:space="preserve">unds for investment and investing available funds (within legal limits) in financial institutions offering the highest interest rates balanced with the acceptable risk. Once established, the board should monitor the program to ensure interest earnings are </w:t>
      </w:r>
      <w:r>
        <w:t>maximized.</w:t>
      </w:r>
    </w:p>
    <w:p w:rsidR="00B942BD" w:rsidRDefault="004E3912">
      <w:pPr>
        <w:spacing w:after="156"/>
        <w:ind w:left="-5" w:right="0"/>
      </w:pPr>
      <w:r>
        <w:rPr>
          <w:b/>
          <w:sz w:val="24"/>
        </w:rPr>
        <w:t>Officials Did Not Ensure Interest Earnings Were Maximized</w:t>
      </w:r>
    </w:p>
    <w:p w:rsidR="00B942BD" w:rsidRDefault="004E3912">
      <w:pPr>
        <w:ind w:left="-3" w:right="690"/>
      </w:pPr>
      <w:r>
        <w:t>The Board did not develop and manage a comprehensive investment program to ensure interest earnings were maximized within acceptable risk levels. For example, although the Board adopted a</w:t>
      </w:r>
      <w:r>
        <w:t>n investment policy in November 1988, it did not annually review the policy as required by GML to keep the policy current with available market conditions. During the audit period, Town officials did not solicit interest rate quotes from additional financi</w:t>
      </w:r>
      <w:r>
        <w:t xml:space="preserve">al institutions or prepare any cash flow forecasts to estimate the amount of funds available for investment. </w:t>
      </w:r>
    </w:p>
    <w:p w:rsidR="00B942BD" w:rsidRDefault="004E3912">
      <w:pPr>
        <w:ind w:left="-3" w:right="690"/>
      </w:pPr>
      <w:r>
        <w:t>The Supervisor maintained the Town’s operating and capital projects funds at one financial institution. During the audit period, operating and cap</w:t>
      </w:r>
      <w:r>
        <w:t>ital projects funds were deposited in 14 interest-bearing checking accounts, which received interest rates of either .05 percent or .1 percent, and six non-interest-bearing checking accounts.</w:t>
      </w:r>
      <w:r>
        <w:rPr>
          <w:sz w:val="20"/>
          <w:vertAlign w:val="superscript"/>
        </w:rPr>
        <w:footnoteReference w:id="2"/>
      </w:r>
      <w:r>
        <w:t xml:space="preserve">  As a result, the Town realized interest earnings of $4,703 rel</w:t>
      </w:r>
      <w:r>
        <w:t xml:space="preserve">ated to its operating and capital projects funds during the audit period.  </w:t>
      </w:r>
    </w:p>
    <w:p w:rsidR="00B942BD" w:rsidRDefault="004E3912">
      <w:pPr>
        <w:ind w:left="-3" w:right="789"/>
      </w:pPr>
      <w:r>
        <w:t>The Town maintains its operating and capital project funds in various checking accounts and pays claims and payroll from accounts as needed. However, by keeping unused money in che</w:t>
      </w:r>
      <w:r>
        <w:t xml:space="preserve">cking rather than savings accounts, the Town is not maximizing its interest earnings. We identified the funds that were not needed to pay operating and capital project expenditures each month and found that the Town could have invested available operating </w:t>
      </w:r>
      <w:r>
        <w:t>and capital projects funds averaging approximately $3.2 million</w:t>
      </w:r>
      <w:r>
        <w:rPr>
          <w:sz w:val="20"/>
          <w:vertAlign w:val="superscript"/>
        </w:rPr>
        <w:footnoteReference w:id="3"/>
      </w:r>
      <w:r>
        <w:t xml:space="preserve"> during the audit period in another financial institution</w:t>
      </w:r>
      <w:r>
        <w:rPr>
          <w:sz w:val="20"/>
          <w:vertAlign w:val="superscript"/>
        </w:rPr>
        <w:footnoteReference w:id="4"/>
      </w:r>
      <w:r>
        <w:t xml:space="preserve"> with higher available interest rates of between 1.13 percent and 2.33</w:t>
      </w:r>
    </w:p>
    <w:p w:rsidR="00B942BD" w:rsidRDefault="004E3912">
      <w:pPr>
        <w:spacing w:after="460" w:line="259" w:lineRule="auto"/>
        <w:ind w:left="0" w:right="-1395" w:firstLine="0"/>
      </w:pPr>
      <w:r>
        <w:rPr>
          <w:rFonts w:ascii="Calibri" w:eastAsia="Calibri" w:hAnsi="Calibri" w:cs="Calibri"/>
          <w:noProof/>
          <w:color w:val="000000"/>
        </w:rPr>
        <mc:AlternateContent>
          <mc:Choice Requires="wpg">
            <w:drawing>
              <wp:inline distT="0" distB="0" distL="0" distR="0">
                <wp:extent cx="6400800" cy="25400"/>
                <wp:effectExtent l="0" t="0" r="0" b="0"/>
                <wp:docPr id="4274" name="Group 4274"/>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202" name="Shape 202"/>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74" style="width:504pt;height:2pt;mso-position-horizontal-relative:char;mso-position-vertical-relative:line" coordsize="64008,254">
                <v:shape id="Shape 202" style="position:absolute;width:64008;height:0;left:0;top:0;" coordsize="6400800,0" path="m0,0l6400800,0">
                  <v:stroke weight="2pt" endcap="flat" joinstyle="miter" miterlimit="4" on="true" color="#558ed5"/>
                  <v:fill on="false" color="#000000" opacity="0"/>
                </v:shape>
              </v:group>
            </w:pict>
          </mc:Fallback>
        </mc:AlternateContent>
      </w:r>
    </w:p>
    <w:p w:rsidR="00B942BD" w:rsidRDefault="004E3912">
      <w:pPr>
        <w:ind w:left="-3" w:right="690"/>
      </w:pPr>
      <w:r>
        <w:lastRenderedPageBreak/>
        <w:t>percent, or an average interest rate of 1.89 percent during t</w:t>
      </w:r>
      <w:r>
        <w:t xml:space="preserve">he audit period. If the Supervisor had invested these funds in this financial institution, interest earnings would have totaled $85,391 during the audit period (an increase of $80,688). </w:t>
      </w:r>
    </w:p>
    <w:p w:rsidR="00B942BD" w:rsidRDefault="004E3912">
      <w:pPr>
        <w:spacing w:after="360"/>
        <w:ind w:left="-3" w:right="690"/>
      </w:pPr>
      <w:r>
        <w:t>Because the Board did not develop and manage a comprehensive investme</w:t>
      </w:r>
      <w:r>
        <w:t>nt program, the Town did not realize significant potential revenues.</w:t>
      </w:r>
    </w:p>
    <w:p w:rsidR="00B942BD" w:rsidRDefault="004E3912">
      <w:pPr>
        <w:spacing w:after="156"/>
        <w:ind w:left="-5" w:right="0"/>
      </w:pPr>
      <w:r>
        <w:rPr>
          <w:b/>
          <w:sz w:val="24"/>
        </w:rPr>
        <w:t xml:space="preserve">What Do We Recommend? </w:t>
      </w:r>
    </w:p>
    <w:p w:rsidR="00B942BD" w:rsidRDefault="004E3912">
      <w:pPr>
        <w:ind w:left="-3" w:right="690"/>
      </w:pPr>
      <w:r>
        <w:t>The Board should:</w:t>
      </w:r>
    </w:p>
    <w:p w:rsidR="00B942BD" w:rsidRDefault="004E3912">
      <w:pPr>
        <w:numPr>
          <w:ilvl w:val="0"/>
          <w:numId w:val="1"/>
        </w:numPr>
        <w:ind w:right="690" w:hanging="360"/>
      </w:pPr>
      <w:r>
        <w:t>Annually review, and update if appropriate, the Town’s investment policy as required by GML.</w:t>
      </w:r>
    </w:p>
    <w:p w:rsidR="00B942BD" w:rsidRDefault="004E3912">
      <w:pPr>
        <w:numPr>
          <w:ilvl w:val="0"/>
          <w:numId w:val="1"/>
        </w:numPr>
        <w:ind w:right="690" w:hanging="360"/>
      </w:pPr>
      <w:r>
        <w:t>Ensure interest rate quotes are periodically solicited from multiple financial institutions.</w:t>
      </w:r>
    </w:p>
    <w:p w:rsidR="00B942BD" w:rsidRDefault="004E3912">
      <w:pPr>
        <w:numPr>
          <w:ilvl w:val="0"/>
          <w:numId w:val="1"/>
        </w:numPr>
        <w:ind w:right="690" w:hanging="360"/>
      </w:pPr>
      <w:r>
        <w:t>Ensure available funds are invested in a manner, within legal limits, to maximize interest earnings.</w:t>
      </w:r>
    </w:p>
    <w:p w:rsidR="00B942BD" w:rsidRDefault="004E3912">
      <w:pPr>
        <w:ind w:left="-3" w:right="690"/>
      </w:pPr>
      <w:r>
        <w:t>The Supervisor should:</w:t>
      </w:r>
    </w:p>
    <w:p w:rsidR="00B942BD" w:rsidRDefault="004E3912">
      <w:pPr>
        <w:numPr>
          <w:ilvl w:val="0"/>
          <w:numId w:val="1"/>
        </w:numPr>
        <w:ind w:right="690" w:hanging="360"/>
      </w:pPr>
      <w:r>
        <w:t>Prepare and provide the Board with mont</w:t>
      </w:r>
      <w:r>
        <w:t>hly cash flow forecasts that estimate the amount of funds available for investment.</w:t>
      </w:r>
    </w:p>
    <w:p w:rsidR="00B942BD" w:rsidRDefault="004E3912">
      <w:pPr>
        <w:pStyle w:val="Heading2"/>
        <w:ind w:left="-3"/>
      </w:pPr>
      <w:r>
        <w:lastRenderedPageBreak/>
        <w:t>Appendix A: Response From Town Officials</w:t>
      </w:r>
    </w:p>
    <w:p w:rsidR="00B942BD" w:rsidRDefault="004E3912">
      <w:pPr>
        <w:spacing w:after="0" w:line="259" w:lineRule="auto"/>
        <w:ind w:left="0" w:right="-1395" w:firstLine="0"/>
      </w:pPr>
      <w:r>
        <w:rPr>
          <w:rFonts w:ascii="Calibri" w:eastAsia="Calibri" w:hAnsi="Calibri" w:cs="Calibri"/>
          <w:noProof/>
          <w:color w:val="000000"/>
        </w:rPr>
        <mc:AlternateContent>
          <mc:Choice Requires="wpg">
            <w:drawing>
              <wp:inline distT="0" distB="0" distL="0" distR="0">
                <wp:extent cx="6400800" cy="8215655"/>
                <wp:effectExtent l="0" t="0" r="0" b="0"/>
                <wp:docPr id="4442" name="Group 4442"/>
                <wp:cNvGraphicFramePr/>
                <a:graphic xmlns:a="http://schemas.openxmlformats.org/drawingml/2006/main">
                  <a:graphicData uri="http://schemas.microsoft.com/office/word/2010/wordprocessingGroup">
                    <wpg:wgp>
                      <wpg:cNvGrpSpPr/>
                      <wpg:grpSpPr>
                        <a:xfrm>
                          <a:off x="0" y="0"/>
                          <a:ext cx="6400800" cy="8215655"/>
                          <a:chOff x="0" y="0"/>
                          <a:chExt cx="6400800" cy="8215655"/>
                        </a:xfrm>
                      </wpg:grpSpPr>
                      <wps:wsp>
                        <wps:cNvPr id="238" name="Shape 238"/>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pic:pic xmlns:pic="http://schemas.openxmlformats.org/drawingml/2006/picture">
                        <pic:nvPicPr>
                          <pic:cNvPr id="5380" name="Picture 5380"/>
                          <pic:cNvPicPr/>
                        </pic:nvPicPr>
                        <pic:blipFill>
                          <a:blip r:embed="rId11"/>
                          <a:stretch>
                            <a:fillRect/>
                          </a:stretch>
                        </pic:blipFill>
                        <pic:spPr>
                          <a:xfrm>
                            <a:off x="-4063" y="8636"/>
                            <a:ext cx="6077712" cy="8208264"/>
                          </a:xfrm>
                          <a:prstGeom prst="rect">
                            <a:avLst/>
                          </a:prstGeom>
                        </pic:spPr>
                      </pic:pic>
                      <pic:pic xmlns:pic="http://schemas.openxmlformats.org/drawingml/2006/picture">
                        <pic:nvPicPr>
                          <pic:cNvPr id="241" name="Picture 241"/>
                          <pic:cNvPicPr/>
                        </pic:nvPicPr>
                        <pic:blipFill>
                          <a:blip r:embed="rId12"/>
                          <a:stretch>
                            <a:fillRect/>
                          </a:stretch>
                        </pic:blipFill>
                        <pic:spPr>
                          <a:xfrm>
                            <a:off x="275082" y="1212058"/>
                            <a:ext cx="2794833" cy="1760525"/>
                          </a:xfrm>
                          <a:prstGeom prst="rect">
                            <a:avLst/>
                          </a:prstGeom>
                        </pic:spPr>
                      </pic:pic>
                      <pic:pic xmlns:pic="http://schemas.openxmlformats.org/drawingml/2006/picture">
                        <pic:nvPicPr>
                          <pic:cNvPr id="242" name="Picture 242"/>
                          <pic:cNvPicPr/>
                        </pic:nvPicPr>
                        <pic:blipFill>
                          <a:blip r:embed="rId13"/>
                          <a:stretch>
                            <a:fillRect/>
                          </a:stretch>
                        </pic:blipFill>
                        <pic:spPr>
                          <a:xfrm>
                            <a:off x="121036" y="67717"/>
                            <a:ext cx="5787725" cy="880262"/>
                          </a:xfrm>
                          <a:prstGeom prst="rect">
                            <a:avLst/>
                          </a:prstGeom>
                        </pic:spPr>
                      </pic:pic>
                      <pic:pic xmlns:pic="http://schemas.openxmlformats.org/drawingml/2006/picture">
                        <pic:nvPicPr>
                          <pic:cNvPr id="243" name="Picture 243"/>
                          <pic:cNvPicPr/>
                        </pic:nvPicPr>
                        <pic:blipFill>
                          <a:blip r:embed="rId14"/>
                          <a:stretch>
                            <a:fillRect/>
                          </a:stretch>
                        </pic:blipFill>
                        <pic:spPr>
                          <a:xfrm>
                            <a:off x="231069" y="3181645"/>
                            <a:ext cx="5369600" cy="4588368"/>
                          </a:xfrm>
                          <a:prstGeom prst="rect">
                            <a:avLst/>
                          </a:prstGeom>
                        </pic:spPr>
                      </pic:pic>
                      <pic:pic xmlns:pic="http://schemas.openxmlformats.org/drawingml/2006/picture">
                        <pic:nvPicPr>
                          <pic:cNvPr id="244" name="Picture 244"/>
                          <pic:cNvPicPr/>
                        </pic:nvPicPr>
                        <pic:blipFill>
                          <a:blip r:embed="rId15"/>
                          <a:stretch>
                            <a:fillRect/>
                          </a:stretch>
                        </pic:blipFill>
                        <pic:spPr>
                          <a:xfrm>
                            <a:off x="1419423" y="8056098"/>
                            <a:ext cx="2970886" cy="132039"/>
                          </a:xfrm>
                          <a:prstGeom prst="rect">
                            <a:avLst/>
                          </a:prstGeom>
                        </pic:spPr>
                      </pic:pic>
                      <pic:pic xmlns:pic="http://schemas.openxmlformats.org/drawingml/2006/picture">
                        <pic:nvPicPr>
                          <pic:cNvPr id="245" name="Picture 245"/>
                          <pic:cNvPicPr/>
                        </pic:nvPicPr>
                        <pic:blipFill>
                          <a:blip r:embed="rId16"/>
                          <a:stretch>
                            <a:fillRect/>
                          </a:stretch>
                        </pic:blipFill>
                        <pic:spPr>
                          <a:xfrm>
                            <a:off x="1155344" y="6801723"/>
                            <a:ext cx="198059" cy="297089"/>
                          </a:xfrm>
                          <a:prstGeom prst="rect">
                            <a:avLst/>
                          </a:prstGeom>
                        </pic:spPr>
                      </pic:pic>
                      <pic:pic xmlns:pic="http://schemas.openxmlformats.org/drawingml/2006/picture">
                        <pic:nvPicPr>
                          <pic:cNvPr id="246" name="Picture 246"/>
                          <pic:cNvPicPr/>
                        </pic:nvPicPr>
                        <pic:blipFill>
                          <a:blip r:embed="rId17"/>
                          <a:stretch>
                            <a:fillRect/>
                          </a:stretch>
                        </pic:blipFill>
                        <pic:spPr>
                          <a:xfrm>
                            <a:off x="1617482" y="6614668"/>
                            <a:ext cx="110033" cy="66020"/>
                          </a:xfrm>
                          <a:prstGeom prst="rect">
                            <a:avLst/>
                          </a:prstGeom>
                        </pic:spPr>
                      </pic:pic>
                      <pic:pic xmlns:pic="http://schemas.openxmlformats.org/drawingml/2006/picture">
                        <pic:nvPicPr>
                          <pic:cNvPr id="247" name="Picture 247"/>
                          <pic:cNvPicPr/>
                        </pic:nvPicPr>
                        <pic:blipFill>
                          <a:blip r:embed="rId18"/>
                          <a:stretch>
                            <a:fillRect/>
                          </a:stretch>
                        </pic:blipFill>
                        <pic:spPr>
                          <a:xfrm>
                            <a:off x="253075" y="6350589"/>
                            <a:ext cx="1100328" cy="330098"/>
                          </a:xfrm>
                          <a:prstGeom prst="rect">
                            <a:avLst/>
                          </a:prstGeom>
                        </pic:spPr>
                      </pic:pic>
                    </wpg:wgp>
                  </a:graphicData>
                </a:graphic>
              </wp:inline>
            </w:drawing>
          </mc:Choice>
          <mc:Fallback xmlns:a="http://schemas.openxmlformats.org/drawingml/2006/main">
            <w:pict>
              <v:group id="Group 4442" style="width:504pt;height:646.902pt;mso-position-horizontal-relative:char;mso-position-vertical-relative:line" coordsize="64008,82156">
                <v:shape id="Shape 238" style="position:absolute;width:64008;height:0;left:0;top:0;" coordsize="6400800,0" path="m0,0l6400800,0">
                  <v:stroke weight="2pt" endcap="flat" joinstyle="miter" miterlimit="4" on="true" color="#558ed5"/>
                  <v:fill on="false" color="#000000" opacity="0"/>
                </v:shape>
                <v:shape id="Picture 5380" style="position:absolute;width:60777;height:82082;left:-40;top:86;" filled="f">
                  <v:imagedata r:id="rId19"/>
                </v:shape>
                <v:shape id="Picture 241" style="position:absolute;width:27948;height:17605;left:2750;top:12120;" filled="f">
                  <v:imagedata r:id="rId20"/>
                </v:shape>
                <v:shape id="Picture 242" style="position:absolute;width:57877;height:8802;left:1210;top:677;" filled="f">
                  <v:imagedata r:id="rId21"/>
                </v:shape>
                <v:shape id="Picture 243" style="position:absolute;width:53696;height:45883;left:2310;top:31816;" filled="f">
                  <v:imagedata r:id="rId22"/>
                </v:shape>
                <v:shape id="Picture 244" style="position:absolute;width:29708;height:1320;left:14194;top:80560;" filled="f">
                  <v:imagedata r:id="rId23"/>
                </v:shape>
                <v:shape id="Picture 245" style="position:absolute;width:1980;height:2970;left:11553;top:68017;" filled="f">
                  <v:imagedata r:id="rId24"/>
                </v:shape>
                <v:shape id="Picture 246" style="position:absolute;width:1100;height:660;left:16174;top:66146;" filled="f">
                  <v:imagedata r:id="rId25"/>
                </v:shape>
                <v:shape id="Picture 247" style="position:absolute;width:11003;height:3300;left:2530;top:63505;" filled="f">
                  <v:imagedata r:id="rId26"/>
                </v:shape>
              </v:group>
            </w:pict>
          </mc:Fallback>
        </mc:AlternateContent>
      </w:r>
    </w:p>
    <w:p w:rsidR="00B942BD" w:rsidRDefault="004E3912">
      <w:pPr>
        <w:pStyle w:val="Heading2"/>
        <w:ind w:left="-3"/>
      </w:pPr>
      <w:r>
        <w:lastRenderedPageBreak/>
        <w:t>Appendix B: Audit Methodology and Standards</w:t>
      </w:r>
    </w:p>
    <w:p w:rsidR="00B942BD" w:rsidRDefault="004E3912">
      <w:pPr>
        <w:spacing w:after="460" w:line="259" w:lineRule="auto"/>
        <w:ind w:left="0" w:right="-1395" w:firstLine="0"/>
      </w:pPr>
      <w:r>
        <w:rPr>
          <w:rFonts w:ascii="Calibri" w:eastAsia="Calibri" w:hAnsi="Calibri" w:cs="Calibri"/>
          <w:noProof/>
          <w:color w:val="000000"/>
        </w:rPr>
        <mc:AlternateContent>
          <mc:Choice Requires="wpg">
            <w:drawing>
              <wp:inline distT="0" distB="0" distL="0" distR="0">
                <wp:extent cx="6400800" cy="25400"/>
                <wp:effectExtent l="0" t="0" r="0" b="0"/>
                <wp:docPr id="4611" name="Group 4611"/>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253" name="Shape 253"/>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s:wsp>
                        <wps:cNvPr id="255" name="Shape 255"/>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11" style="width:504pt;height:2pt;mso-position-horizontal-relative:char;mso-position-vertical-relative:line" coordsize="64008,254">
                <v:shape id="Shape 253" style="position:absolute;width:64008;height:0;left:0;top:0;" coordsize="6400800,0" path="m0,0l6400800,0">
                  <v:stroke weight="2pt" endcap="flat" joinstyle="miter" miterlimit="4" on="true" color="#558ed5"/>
                  <v:fill on="false" color="#000000" opacity="0"/>
                </v:shape>
                <v:shape id="Shape 255" style="position:absolute;width:64008;height:0;left:0;top:0;" coordsize="6400800,0" path="m0,0l6400800,0">
                  <v:stroke weight="2pt" endcap="flat" joinstyle="miter" miterlimit="4" on="true" color="#558ed5"/>
                  <v:fill on="false" color="#000000" opacity="0"/>
                </v:shape>
              </v:group>
            </w:pict>
          </mc:Fallback>
        </mc:AlternateContent>
      </w:r>
    </w:p>
    <w:p w:rsidR="00B942BD" w:rsidRDefault="004E3912">
      <w:pPr>
        <w:spacing w:after="24"/>
        <w:ind w:left="-3" w:right="870"/>
      </w:pPr>
      <w:r>
        <w:t>We conducted this audit pursuant to Article V, Section 1 of the State Constitution and the State Comptroller’s authority as set forth in Article 3 of the New York State General Municipal Law. To achieve the audit objective and obtain valid audit evidence,</w:t>
      </w:r>
      <w:r>
        <w:rPr>
          <w:sz w:val="20"/>
          <w:vertAlign w:val="superscript"/>
        </w:rPr>
        <w:footnoteReference w:id="5"/>
      </w:r>
      <w:r>
        <w:t xml:space="preserve"> our audit procedures included the following: </w:t>
      </w:r>
      <w:r>
        <w:rPr>
          <w:rFonts w:ascii="Wingdings" w:eastAsia="Wingdings" w:hAnsi="Wingdings" w:cs="Wingdings"/>
          <w:color w:val="F79646"/>
          <w:sz w:val="17"/>
        </w:rPr>
        <w:t></w:t>
      </w:r>
      <w:r>
        <w:rPr>
          <w:color w:val="F79646"/>
          <w:sz w:val="17"/>
        </w:rPr>
        <w:t xml:space="preserve"> </w:t>
      </w:r>
      <w:r>
        <w:t>We interviewed Town officials and reviewed the Town’s investment policy and various financial records to gain an understanding of the Town’s cash management procedures. This included inquiries regarding the B</w:t>
      </w:r>
      <w:r>
        <w:t xml:space="preserve">oard’s annual review of the investment policy, soliciting interest rate quotes from financial institutions and the preparation of cash flow forecasts. </w:t>
      </w:r>
      <w:r>
        <w:rPr>
          <w:rFonts w:ascii="Wingdings" w:eastAsia="Wingdings" w:hAnsi="Wingdings" w:cs="Wingdings"/>
          <w:color w:val="F79646"/>
          <w:sz w:val="17"/>
        </w:rPr>
        <w:t></w:t>
      </w:r>
      <w:r>
        <w:rPr>
          <w:color w:val="F79646"/>
          <w:sz w:val="17"/>
        </w:rPr>
        <w:t xml:space="preserve"> </w:t>
      </w:r>
      <w:r>
        <w:t xml:space="preserve">We reviewed all bank statements for the operating and capital projects fund </w:t>
      </w:r>
    </w:p>
    <w:p w:rsidR="00B942BD" w:rsidRDefault="004E3912">
      <w:pPr>
        <w:ind w:left="493" w:right="832"/>
      </w:pPr>
      <w:r>
        <w:t>bank accounts during the a</w:t>
      </w:r>
      <w:r>
        <w:t>udit period and analyzed the corresponding cash balances to determine the amount of funds available to be invested each month during the audit period. We then calculated the amount of interest earnings that could have been realized by the Town during the a</w:t>
      </w:r>
      <w:r>
        <w:t>udit period had the available funds been invested in another financial institution. We selected this financial institution because it did not require minimum investment amounts and allowed for funds to be withdrawn at any time without penalties or fees, an</w:t>
      </w:r>
      <w:r>
        <w:t>d because the daily interest rates during the audit period were publicly available. We then compared our calculated amount of interest earnings that could have been realized to the interest earnings actually realized by the Town during our audit period.</w:t>
      </w:r>
    </w:p>
    <w:p w:rsidR="00B942BD" w:rsidRDefault="004E3912">
      <w:pPr>
        <w:ind w:left="-3" w:right="885"/>
      </w:pPr>
      <w:r>
        <w:t>We</w:t>
      </w:r>
      <w:r>
        <w:t xml:space="preserve"> conducted this performance audit in accordance with GAGAS (generally accepted government auditing standards). Those standards require that we plan and perform the audit to obtain sufficient, appropriate evidence to provide a reasonable basis for our findi</w:t>
      </w:r>
      <w:r>
        <w:t>ngs and conclusions based on our audit objective. We believe that the evidence obtained provides a reasonable basis for our findings and conclusions based on our audit objective.</w:t>
      </w:r>
    </w:p>
    <w:p w:rsidR="00B942BD" w:rsidRDefault="004E3912">
      <w:pPr>
        <w:ind w:left="-3" w:right="690"/>
      </w:pPr>
      <w:r>
        <w:t>A written corrective action plan (CAP) that addresses the findings and recomm</w:t>
      </w:r>
      <w:r>
        <w:t xml:space="preserve">endations in this report should be prepared and provided to our office within 90 days, pursuant to Section 35 of General Municipal Law. For more information on preparing and filing your CAP, please refer to our brochure, </w:t>
      </w:r>
      <w:r>
        <w:rPr>
          <w:i/>
        </w:rPr>
        <w:t>Responding to an OSC Audit Report</w:t>
      </w:r>
      <w:r>
        <w:t xml:space="preserve">, </w:t>
      </w:r>
      <w:r>
        <w:t>which you received with the draft audit report. We encourage the Board to make the CAP available for public review in the Town Clerk’s office.</w:t>
      </w:r>
    </w:p>
    <w:p w:rsidR="00B942BD" w:rsidRDefault="004E3912">
      <w:pPr>
        <w:pStyle w:val="Heading2"/>
        <w:ind w:left="-3"/>
      </w:pPr>
      <w:r>
        <w:lastRenderedPageBreak/>
        <w:t>Appendix C: Resources and Services</w:t>
      </w:r>
    </w:p>
    <w:p w:rsidR="00B942BD" w:rsidRDefault="004E3912">
      <w:pPr>
        <w:spacing w:after="460" w:line="259" w:lineRule="auto"/>
        <w:ind w:left="0" w:right="-1395" w:firstLine="0"/>
      </w:pPr>
      <w:r>
        <w:rPr>
          <w:rFonts w:ascii="Calibri" w:eastAsia="Calibri" w:hAnsi="Calibri" w:cs="Calibri"/>
          <w:noProof/>
          <w:color w:val="000000"/>
        </w:rPr>
        <mc:AlternateContent>
          <mc:Choice Requires="wpg">
            <w:drawing>
              <wp:inline distT="0" distB="0" distL="0" distR="0">
                <wp:extent cx="6400800" cy="25400"/>
                <wp:effectExtent l="0" t="0" r="0" b="0"/>
                <wp:docPr id="4570" name="Group 4570"/>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309" name="Shape 309"/>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s:wsp>
                        <wps:cNvPr id="311" name="Shape 311"/>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70" style="width:504pt;height:2pt;mso-position-horizontal-relative:char;mso-position-vertical-relative:line" coordsize="64008,254">
                <v:shape id="Shape 309" style="position:absolute;width:64008;height:0;left:0;top:0;" coordsize="6400800,0" path="m0,0l6400800,0">
                  <v:stroke weight="2pt" endcap="flat" joinstyle="miter" miterlimit="4" on="true" color="#558ed5"/>
                  <v:fill on="false" color="#000000" opacity="0"/>
                </v:shape>
                <v:shape id="Shape 311" style="position:absolute;width:64008;height:0;left:0;top:0;" coordsize="6400800,0" path="m0,0l6400800,0">
                  <v:stroke weight="2pt" endcap="flat" joinstyle="miter" miterlimit="4" on="true" color="#558ed5"/>
                  <v:fill on="false" color="#000000" opacity="0"/>
                </v:shape>
              </v:group>
            </w:pict>
          </mc:Fallback>
        </mc:AlternateContent>
      </w:r>
    </w:p>
    <w:p w:rsidR="00B942BD" w:rsidRDefault="004E3912">
      <w:pPr>
        <w:spacing w:after="7" w:line="259" w:lineRule="auto"/>
        <w:ind w:left="3" w:right="0" w:firstLine="0"/>
      </w:pPr>
      <w:r>
        <w:rPr>
          <w:b/>
        </w:rPr>
        <w:t>Regional Office Directory</w:t>
      </w:r>
      <w:r>
        <w:t xml:space="preserve"> </w:t>
      </w:r>
    </w:p>
    <w:p w:rsidR="00B942BD" w:rsidRDefault="004E3912">
      <w:pPr>
        <w:ind w:left="-3" w:right="690"/>
      </w:pPr>
      <w:r>
        <w:t>www.osc.state.ny.us/localgov/regional_directory.pdf</w:t>
      </w:r>
    </w:p>
    <w:p w:rsidR="00B942BD" w:rsidRDefault="004E3912">
      <w:pPr>
        <w:ind w:left="-3" w:right="690"/>
      </w:pPr>
      <w:r>
        <w:rPr>
          <w:b/>
        </w:rPr>
        <w:t>Cost-Saving Ideas</w:t>
      </w:r>
      <w:r>
        <w:t xml:space="preserve"> – Resources, advice and assistance on cost-saving ideas</w:t>
      </w:r>
      <w:r>
        <w:t xml:space="preserve"> </w:t>
      </w:r>
      <w:r>
        <w:t>www.osc.state.ny.us/localgov/costsavings/index.htm</w:t>
      </w:r>
    </w:p>
    <w:p w:rsidR="00B942BD" w:rsidRDefault="004E3912">
      <w:pPr>
        <w:spacing w:after="0"/>
        <w:ind w:left="-3" w:right="690"/>
      </w:pPr>
      <w:r>
        <w:rPr>
          <w:b/>
        </w:rPr>
        <w:t>Fiscal Stress Monitoring</w:t>
      </w:r>
      <w:r>
        <w:t xml:space="preserve"> – Resources for local government officials experiencin</w:t>
      </w:r>
      <w:r>
        <w:t>g fiscal problems</w:t>
      </w:r>
      <w:r>
        <w:t xml:space="preserve"> </w:t>
      </w:r>
    </w:p>
    <w:p w:rsidR="00B942BD" w:rsidRDefault="004E3912">
      <w:pPr>
        <w:ind w:left="-3" w:right="690"/>
      </w:pPr>
      <w:r>
        <w:t>www.osc.state.ny.us/localgov/fiscalmonitoring/index.htm</w:t>
      </w:r>
    </w:p>
    <w:p w:rsidR="00B942BD" w:rsidRDefault="004E3912">
      <w:pPr>
        <w:ind w:left="-3" w:right="690"/>
      </w:pPr>
      <w:r>
        <w:rPr>
          <w:b/>
        </w:rPr>
        <w:t>Local Government Management Guides</w:t>
      </w:r>
      <w:r>
        <w:t xml:space="preserve"> – Series of publications that include technical information and suggested practices for local government management</w:t>
      </w:r>
      <w:r>
        <w:t xml:space="preserve"> </w:t>
      </w:r>
      <w:r>
        <w:t>www.osc.state.ny.us/localgov/p</w:t>
      </w:r>
      <w:r>
        <w:t>ubs/listacctg.htm#lgmg</w:t>
      </w:r>
    </w:p>
    <w:p w:rsidR="00B942BD" w:rsidRDefault="004E3912">
      <w:pPr>
        <w:spacing w:after="0"/>
        <w:ind w:left="-3" w:right="690"/>
      </w:pPr>
      <w:r>
        <w:rPr>
          <w:b/>
        </w:rPr>
        <w:t>Planning and Budgeting Guides</w:t>
      </w:r>
      <w:r>
        <w:t xml:space="preserve"> – Resources for developing multiyear financial, capital, strategic and other plans</w:t>
      </w:r>
      <w:r>
        <w:t xml:space="preserve"> </w:t>
      </w:r>
    </w:p>
    <w:p w:rsidR="00B942BD" w:rsidRDefault="004E3912">
      <w:pPr>
        <w:ind w:left="-3" w:right="690"/>
      </w:pPr>
      <w:r>
        <w:t>www.osc.state.ny.us/localgov/planbudget/index.htm</w:t>
      </w:r>
    </w:p>
    <w:p w:rsidR="00B942BD" w:rsidRDefault="004E3912">
      <w:pPr>
        <w:ind w:left="-3" w:right="690"/>
      </w:pPr>
      <w:r>
        <w:rPr>
          <w:b/>
        </w:rPr>
        <w:t>Protecting Sensitive Data and Other Local Government Assets</w:t>
      </w:r>
      <w:r>
        <w:t xml:space="preserve"> – A nonte</w:t>
      </w:r>
      <w:r>
        <w:t xml:space="preserve">chnical cybersecurity guide for local government leaders </w:t>
      </w:r>
      <w:r>
        <w:t xml:space="preserve"> </w:t>
      </w:r>
      <w:r>
        <w:t>www.osc.state.ny.us/localgov/pubs/cyber-security-guide.pdf</w:t>
      </w:r>
    </w:p>
    <w:p w:rsidR="00B942BD" w:rsidRDefault="004E3912">
      <w:pPr>
        <w:ind w:left="-3" w:right="690"/>
      </w:pPr>
      <w:r>
        <w:rPr>
          <w:b/>
        </w:rPr>
        <w:t>Required Reporting</w:t>
      </w:r>
      <w:r>
        <w:t xml:space="preserve"> – Information and resources for reports and forms that are filed with the Office of the State Comptroller </w:t>
      </w:r>
      <w:r>
        <w:t xml:space="preserve"> </w:t>
      </w:r>
      <w:r>
        <w:t>www.osc.state</w:t>
      </w:r>
      <w:r>
        <w:t>.ny.us/localgov/finreporting/index.htm</w:t>
      </w:r>
    </w:p>
    <w:p w:rsidR="00B942BD" w:rsidRDefault="004E3912">
      <w:pPr>
        <w:ind w:left="-3" w:right="690"/>
      </w:pPr>
      <w:r>
        <w:rPr>
          <w:b/>
        </w:rPr>
        <w:t>Research Reports/Publications</w:t>
      </w:r>
      <w:r>
        <w:t xml:space="preserve"> – Reports on major policy issues facing local governments and State policy-makers </w:t>
      </w:r>
      <w:r>
        <w:t xml:space="preserve"> </w:t>
      </w:r>
      <w:r>
        <w:t>www.osc.state.ny.us/localgov/researchpubs/index.htm</w:t>
      </w:r>
    </w:p>
    <w:p w:rsidR="00B942BD" w:rsidRDefault="004E3912">
      <w:pPr>
        <w:ind w:left="-3" w:right="690"/>
      </w:pPr>
      <w:r>
        <w:rPr>
          <w:b/>
        </w:rPr>
        <w:t xml:space="preserve">Training </w:t>
      </w:r>
      <w:r>
        <w:t>– Resources for local government officials on in-person and online training opportunities on a wide range of topics</w:t>
      </w:r>
      <w:r>
        <w:t xml:space="preserve"> </w:t>
      </w:r>
      <w:r>
        <w:t>www.osc.state.ny.us/localgov/academy/index.htm</w:t>
      </w:r>
    </w:p>
    <w:p w:rsidR="00B942BD" w:rsidRDefault="00B942BD">
      <w:pPr>
        <w:sectPr w:rsidR="00B942BD">
          <w:footerReference w:type="even" r:id="rId27"/>
          <w:footerReference w:type="default" r:id="rId28"/>
          <w:footerReference w:type="first" r:id="rId29"/>
          <w:pgSz w:w="12240" w:h="15840"/>
          <w:pgMar w:top="1080" w:right="2475" w:bottom="1202" w:left="1080" w:header="720" w:footer="671" w:gutter="0"/>
          <w:pgNumType w:start="1"/>
          <w:cols w:space="720"/>
        </w:sectPr>
      </w:pPr>
    </w:p>
    <w:p w:rsidR="00B942BD" w:rsidRDefault="004E3912">
      <w:pPr>
        <w:pStyle w:val="Heading3"/>
        <w:ind w:left="-5"/>
      </w:pPr>
      <w:r>
        <w:lastRenderedPageBreak/>
        <w:t>Contact</w:t>
      </w:r>
    </w:p>
    <w:p w:rsidR="00B942BD" w:rsidRDefault="004E3912">
      <w:pPr>
        <w:spacing w:after="1"/>
        <w:ind w:left="-3" w:right="690"/>
      </w:pPr>
      <w:r>
        <w:t>Office of the New York State Comptroller</w:t>
      </w:r>
      <w:r>
        <w:t xml:space="preserve"> </w:t>
      </w:r>
    </w:p>
    <w:p w:rsidR="00B942BD" w:rsidRDefault="004E3912">
      <w:pPr>
        <w:spacing w:after="1"/>
        <w:ind w:left="-3" w:right="690"/>
      </w:pPr>
      <w:r>
        <w:t>Division of Local Government and School Accountability</w:t>
      </w:r>
      <w:r>
        <w:t xml:space="preserve"> </w:t>
      </w:r>
    </w:p>
    <w:p w:rsidR="00B942BD" w:rsidRDefault="004E3912">
      <w:pPr>
        <w:spacing w:after="101"/>
        <w:ind w:left="-3" w:right="690"/>
      </w:pPr>
      <w:r>
        <w:t>110 State Street, 12th Floor, Albany, New York 12236</w:t>
      </w:r>
    </w:p>
    <w:p w:rsidR="00B942BD" w:rsidRDefault="004E3912">
      <w:pPr>
        <w:spacing w:after="0" w:line="361" w:lineRule="auto"/>
        <w:ind w:left="-3" w:right="690"/>
      </w:pPr>
      <w:r>
        <w:t>Tel: (518) 474-4037 • Fax: (518) 486-6479 • Email: localgov@osc.ny.gov www.osc.state.ny.us/localgov/index.htm</w:t>
      </w:r>
    </w:p>
    <w:p w:rsidR="00B942BD" w:rsidRDefault="004E3912">
      <w:pPr>
        <w:spacing w:after="55"/>
        <w:ind w:left="-3" w:right="690"/>
      </w:pPr>
      <w:r>
        <w:t>Local Government and School Accountab</w:t>
      </w:r>
      <w:r>
        <w:t>ility Help Line: (866) 321-8503</w:t>
      </w:r>
    </w:p>
    <w:p w:rsidR="00B942BD" w:rsidRDefault="004E3912">
      <w:pPr>
        <w:spacing w:after="340" w:line="259" w:lineRule="auto"/>
        <w:ind w:left="0" w:right="-63" w:firstLine="0"/>
      </w:pPr>
      <w:r>
        <w:rPr>
          <w:rFonts w:ascii="Calibri" w:eastAsia="Calibri" w:hAnsi="Calibri" w:cs="Calibri"/>
          <w:noProof/>
          <w:color w:val="000000"/>
        </w:rPr>
        <mc:AlternateContent>
          <mc:Choice Requires="wpg">
            <w:drawing>
              <wp:inline distT="0" distB="0" distL="0" distR="0">
                <wp:extent cx="5943600" cy="25400"/>
                <wp:effectExtent l="0" t="0" r="0" b="0"/>
                <wp:docPr id="4830" name="Group 4830"/>
                <wp:cNvGraphicFramePr/>
                <a:graphic xmlns:a="http://schemas.openxmlformats.org/drawingml/2006/main">
                  <a:graphicData uri="http://schemas.microsoft.com/office/word/2010/wordprocessingGroup">
                    <wpg:wgp>
                      <wpg:cNvGrpSpPr/>
                      <wpg:grpSpPr>
                        <a:xfrm>
                          <a:off x="0" y="0"/>
                          <a:ext cx="5943600" cy="25400"/>
                          <a:chOff x="0" y="0"/>
                          <a:chExt cx="5943600" cy="25400"/>
                        </a:xfrm>
                      </wpg:grpSpPr>
                      <wps:wsp>
                        <wps:cNvPr id="364" name="Shape 364"/>
                        <wps:cNvSpPr/>
                        <wps:spPr>
                          <a:xfrm>
                            <a:off x="0" y="0"/>
                            <a:ext cx="5943600" cy="0"/>
                          </a:xfrm>
                          <a:custGeom>
                            <a:avLst/>
                            <a:gdLst/>
                            <a:ahLst/>
                            <a:cxnLst/>
                            <a:rect l="0" t="0" r="0" b="0"/>
                            <a:pathLst>
                              <a:path w="5943600">
                                <a:moveTo>
                                  <a:pt x="0" y="0"/>
                                </a:moveTo>
                                <a:lnTo>
                                  <a:pt x="5943600" y="0"/>
                                </a:lnTo>
                              </a:path>
                            </a:pathLst>
                          </a:custGeom>
                          <a:ln w="25400" cap="flat">
                            <a:miter lim="127000"/>
                          </a:ln>
                        </wps:spPr>
                        <wps:style>
                          <a:lnRef idx="1">
                            <a:srgbClr val="F7964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30" style="width:468pt;height:2pt;mso-position-horizontal-relative:char;mso-position-vertical-relative:line" coordsize="59436,254">
                <v:shape id="Shape 364" style="position:absolute;width:59436;height:0;left:0;top:0;" coordsize="5943600,0" path="m0,0l5943600,0">
                  <v:stroke weight="2pt" endcap="flat" joinstyle="miter" miterlimit="10" on="true" color="#f79646"/>
                  <v:fill on="false" color="#000000" opacity="0"/>
                </v:shape>
              </v:group>
            </w:pict>
          </mc:Fallback>
        </mc:AlternateContent>
      </w:r>
    </w:p>
    <w:p w:rsidR="00B942BD" w:rsidRDefault="004E3912">
      <w:pPr>
        <w:spacing w:after="101"/>
        <w:ind w:left="-3" w:right="690"/>
      </w:pPr>
      <w:r>
        <w:rPr>
          <w:b/>
        </w:rPr>
        <w:t xml:space="preserve">GLENS FALLS REGIONAL OFFICE </w:t>
      </w:r>
      <w:r>
        <w:t>– Jeffrey P. Leonard, Chief Examiner</w:t>
      </w:r>
    </w:p>
    <w:p w:rsidR="00B942BD" w:rsidRDefault="004E3912">
      <w:pPr>
        <w:spacing w:after="101"/>
        <w:ind w:left="-3" w:right="690"/>
      </w:pPr>
      <w:r>
        <w:t>One Broad Street Plaza • Glens Falls, New York 12801-4396</w:t>
      </w:r>
    </w:p>
    <w:p w:rsidR="00B942BD" w:rsidRDefault="004E3912">
      <w:pPr>
        <w:spacing w:after="101"/>
        <w:ind w:left="-3" w:right="690"/>
      </w:pPr>
      <w:r>
        <w:t>Tel (518) 793-0057  • Fax (518) 793-5797  • Email: Muni-GlensFalls@osc.ny.gov</w:t>
      </w:r>
    </w:p>
    <w:p w:rsidR="00B942BD" w:rsidRDefault="004E3912">
      <w:pPr>
        <w:spacing w:after="1"/>
        <w:ind w:left="-3" w:right="0"/>
      </w:pPr>
      <w:r>
        <w:t>Serving: Albany, Clin</w:t>
      </w:r>
      <w:r>
        <w:t xml:space="preserve">ton, Essex, Franklin, Fulton, Hamilton, Montgomery, Rensselaer, Saratoga, </w:t>
      </w:r>
    </w:p>
    <w:p w:rsidR="00B942BD" w:rsidRDefault="004E3912">
      <w:pPr>
        <w:spacing w:after="602"/>
        <w:ind w:left="-3" w:right="690"/>
      </w:pPr>
      <w:r>
        <w:t>Schenectady, Warren, Washington counties</w:t>
      </w:r>
    </w:p>
    <w:p w:rsidR="00B942BD" w:rsidRDefault="004E3912">
      <w:pPr>
        <w:spacing w:after="234" w:line="259" w:lineRule="auto"/>
        <w:ind w:left="0" w:right="0" w:firstLine="0"/>
      </w:pPr>
      <w:r>
        <w:rPr>
          <w:rFonts w:ascii="Calibri" w:eastAsia="Calibri" w:hAnsi="Calibri" w:cs="Calibri"/>
          <w:noProof/>
          <w:color w:val="000000"/>
        </w:rPr>
        <mc:AlternateContent>
          <mc:Choice Requires="wpg">
            <w:drawing>
              <wp:inline distT="0" distB="0" distL="0" distR="0">
                <wp:extent cx="622529" cy="263639"/>
                <wp:effectExtent l="0" t="0" r="0" b="0"/>
                <wp:docPr id="4829" name="Group 4829"/>
                <wp:cNvGraphicFramePr/>
                <a:graphic xmlns:a="http://schemas.openxmlformats.org/drawingml/2006/main">
                  <a:graphicData uri="http://schemas.microsoft.com/office/word/2010/wordprocessingGroup">
                    <wpg:wgp>
                      <wpg:cNvGrpSpPr/>
                      <wpg:grpSpPr>
                        <a:xfrm>
                          <a:off x="0" y="0"/>
                          <a:ext cx="622529" cy="263639"/>
                          <a:chOff x="0" y="0"/>
                          <a:chExt cx="622529" cy="263639"/>
                        </a:xfrm>
                      </wpg:grpSpPr>
                      <wps:wsp>
                        <wps:cNvPr id="5610" name="Shape 5610"/>
                        <wps:cNvSpPr/>
                        <wps:spPr>
                          <a:xfrm>
                            <a:off x="359296" y="406"/>
                            <a:ext cx="263233" cy="263233"/>
                          </a:xfrm>
                          <a:custGeom>
                            <a:avLst/>
                            <a:gdLst/>
                            <a:ahLst/>
                            <a:cxnLst/>
                            <a:rect l="0" t="0" r="0" b="0"/>
                            <a:pathLst>
                              <a:path w="263233" h="263233">
                                <a:moveTo>
                                  <a:pt x="0" y="0"/>
                                </a:moveTo>
                                <a:lnTo>
                                  <a:pt x="263233" y="0"/>
                                </a:lnTo>
                                <a:lnTo>
                                  <a:pt x="263233" y="263233"/>
                                </a:lnTo>
                                <a:lnTo>
                                  <a:pt x="0" y="263233"/>
                                </a:lnTo>
                                <a:lnTo>
                                  <a:pt x="0" y="0"/>
                                </a:lnTo>
                              </a:path>
                            </a:pathLst>
                          </a:custGeom>
                          <a:ln w="0" cap="flat">
                            <a:miter lim="127000"/>
                          </a:ln>
                        </wps:spPr>
                        <wps:style>
                          <a:lnRef idx="0">
                            <a:srgbClr val="000000">
                              <a:alpha val="0"/>
                            </a:srgbClr>
                          </a:lnRef>
                          <a:fillRef idx="1">
                            <a:srgbClr val="59A1CF"/>
                          </a:fillRef>
                          <a:effectRef idx="0">
                            <a:scrgbClr r="0" g="0" b="0"/>
                          </a:effectRef>
                          <a:fontRef idx="none"/>
                        </wps:style>
                        <wps:bodyPr/>
                      </wps:wsp>
                      <wps:wsp>
                        <wps:cNvPr id="360" name="Shape 360"/>
                        <wps:cNvSpPr/>
                        <wps:spPr>
                          <a:xfrm>
                            <a:off x="405149" y="60713"/>
                            <a:ext cx="175489" cy="142608"/>
                          </a:xfrm>
                          <a:custGeom>
                            <a:avLst/>
                            <a:gdLst/>
                            <a:ahLst/>
                            <a:cxnLst/>
                            <a:rect l="0" t="0" r="0" b="0"/>
                            <a:pathLst>
                              <a:path w="175489" h="142608">
                                <a:moveTo>
                                  <a:pt x="121501" y="0"/>
                                </a:moveTo>
                                <a:cubicBezTo>
                                  <a:pt x="131851" y="0"/>
                                  <a:pt x="141211" y="4369"/>
                                  <a:pt x="147777" y="11366"/>
                                </a:cubicBezTo>
                                <a:cubicBezTo>
                                  <a:pt x="155981" y="9754"/>
                                  <a:pt x="163678" y="6756"/>
                                  <a:pt x="170637" y="2629"/>
                                </a:cubicBezTo>
                                <a:cubicBezTo>
                                  <a:pt x="167957" y="11036"/>
                                  <a:pt x="162243" y="18097"/>
                                  <a:pt x="154813" y="22542"/>
                                </a:cubicBezTo>
                                <a:cubicBezTo>
                                  <a:pt x="162090" y="21679"/>
                                  <a:pt x="169037" y="19735"/>
                                  <a:pt x="175489" y="16878"/>
                                </a:cubicBezTo>
                                <a:cubicBezTo>
                                  <a:pt x="170663" y="24092"/>
                                  <a:pt x="164554" y="30442"/>
                                  <a:pt x="157518" y="35509"/>
                                </a:cubicBezTo>
                                <a:cubicBezTo>
                                  <a:pt x="157594" y="37058"/>
                                  <a:pt x="157632" y="38608"/>
                                  <a:pt x="157632" y="40170"/>
                                </a:cubicBezTo>
                                <a:cubicBezTo>
                                  <a:pt x="157632" y="87757"/>
                                  <a:pt x="121412" y="142608"/>
                                  <a:pt x="55194" y="142608"/>
                                </a:cubicBezTo>
                                <a:cubicBezTo>
                                  <a:pt x="34849" y="142608"/>
                                  <a:pt x="15926" y="136651"/>
                                  <a:pt x="0" y="126441"/>
                                </a:cubicBezTo>
                                <a:cubicBezTo>
                                  <a:pt x="2819" y="126771"/>
                                  <a:pt x="5677" y="126936"/>
                                  <a:pt x="8585" y="126936"/>
                                </a:cubicBezTo>
                                <a:cubicBezTo>
                                  <a:pt x="25451" y="126936"/>
                                  <a:pt x="40983" y="121183"/>
                                  <a:pt x="53302" y="111531"/>
                                </a:cubicBezTo>
                                <a:cubicBezTo>
                                  <a:pt x="37541" y="111239"/>
                                  <a:pt x="24244" y="100825"/>
                                  <a:pt x="19672" y="86525"/>
                                </a:cubicBezTo>
                                <a:cubicBezTo>
                                  <a:pt x="21869" y="86944"/>
                                  <a:pt x="24117" y="87172"/>
                                  <a:pt x="26441" y="87172"/>
                                </a:cubicBezTo>
                                <a:cubicBezTo>
                                  <a:pt x="29718" y="87172"/>
                                  <a:pt x="32906" y="86728"/>
                                  <a:pt x="35928" y="85903"/>
                                </a:cubicBezTo>
                                <a:cubicBezTo>
                                  <a:pt x="19456" y="82600"/>
                                  <a:pt x="7049" y="68046"/>
                                  <a:pt x="7049" y="50597"/>
                                </a:cubicBezTo>
                                <a:cubicBezTo>
                                  <a:pt x="7049" y="50457"/>
                                  <a:pt x="7049" y="50305"/>
                                  <a:pt x="7049" y="50152"/>
                                </a:cubicBezTo>
                                <a:cubicBezTo>
                                  <a:pt x="11900" y="52844"/>
                                  <a:pt x="17450" y="54470"/>
                                  <a:pt x="23355" y="54648"/>
                                </a:cubicBezTo>
                                <a:cubicBezTo>
                                  <a:pt x="13691" y="48196"/>
                                  <a:pt x="7341" y="37173"/>
                                  <a:pt x="7341" y="24688"/>
                                </a:cubicBezTo>
                                <a:cubicBezTo>
                                  <a:pt x="7341" y="18084"/>
                                  <a:pt x="9119" y="11899"/>
                                  <a:pt x="12217" y="6579"/>
                                </a:cubicBezTo>
                                <a:cubicBezTo>
                                  <a:pt x="29972" y="28372"/>
                                  <a:pt x="56502" y="42697"/>
                                  <a:pt x="86424" y="44208"/>
                                </a:cubicBezTo>
                                <a:cubicBezTo>
                                  <a:pt x="85814" y="41566"/>
                                  <a:pt x="85496" y="38824"/>
                                  <a:pt x="85496" y="36004"/>
                                </a:cubicBezTo>
                                <a:cubicBezTo>
                                  <a:pt x="85496" y="16116"/>
                                  <a:pt x="101613" y="0"/>
                                  <a:pt x="1215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5381" name="Picture 5381"/>
                          <pic:cNvPicPr/>
                        </pic:nvPicPr>
                        <pic:blipFill>
                          <a:blip r:embed="rId30"/>
                          <a:stretch>
                            <a:fillRect/>
                          </a:stretch>
                        </pic:blipFill>
                        <pic:spPr>
                          <a:xfrm>
                            <a:off x="-4063" y="-4610"/>
                            <a:ext cx="268224" cy="268224"/>
                          </a:xfrm>
                          <a:prstGeom prst="rect">
                            <a:avLst/>
                          </a:prstGeom>
                        </pic:spPr>
                      </pic:pic>
                    </wpg:wgp>
                  </a:graphicData>
                </a:graphic>
              </wp:inline>
            </w:drawing>
          </mc:Choice>
          <mc:Fallback xmlns:a="http://schemas.openxmlformats.org/drawingml/2006/main">
            <w:pict>
              <v:group id="Group 4829" style="width:49.018pt;height:20.759pt;mso-position-horizontal-relative:char;mso-position-vertical-relative:line" coordsize="6225,2636">
                <v:shape id="Shape 5611" style="position:absolute;width:2632;height:2632;left:3592;top:4;" coordsize="263233,263233" path="m0,0l263233,0l263233,263233l0,263233l0,0">
                  <v:stroke weight="0pt" endcap="flat" joinstyle="miter" miterlimit="10" on="false" color="#000000" opacity="0"/>
                  <v:fill on="true" color="#59a1cf"/>
                </v:shape>
                <v:shape id="Shape 360" style="position:absolute;width:1754;height:1426;left:4051;top:607;" coordsize="175489,142608" path="m121501,0c131851,0,141211,4369,147777,11366c155981,9754,163678,6756,170637,2629c167957,11036,162243,18097,154813,22542c162090,21679,169037,19735,175489,16878c170663,24092,164554,30442,157518,35509c157594,37058,157632,38608,157632,40170c157632,87757,121412,142608,55194,142608c34849,142608,15926,136651,0,126441c2819,126771,5677,126936,8585,126936c25451,126936,40983,121183,53302,111531c37541,111239,24244,100825,19672,86525c21869,86944,24117,87172,26441,87172c29718,87172,32906,86728,35928,85903c19456,82600,7049,68046,7049,50597c7049,50457,7049,50305,7049,50152c11900,52844,17450,54470,23355,54648c13691,48196,7341,37173,7341,24688c7341,18084,9119,11899,12217,6579c29972,28372,56502,42697,86424,44208c85814,41566,85496,38824,85496,36004c85496,16116,101613,0,121501,0x">
                  <v:stroke weight="0pt" endcap="flat" joinstyle="miter" miterlimit="10" on="false" color="#000000" opacity="0"/>
                  <v:fill on="true" color="#fffefd"/>
                </v:shape>
                <v:shape id="Picture 5381" style="position:absolute;width:2682;height:2682;left:-40;top:-46;" filled="f">
                  <v:imagedata r:id="rId31"/>
                </v:shape>
              </v:group>
            </w:pict>
          </mc:Fallback>
        </mc:AlternateContent>
      </w:r>
    </w:p>
    <w:p w:rsidR="00B942BD" w:rsidRDefault="004E3912">
      <w:pPr>
        <w:spacing w:after="1"/>
        <w:ind w:left="-3" w:right="690"/>
      </w:pPr>
      <w:r>
        <w:t xml:space="preserve">Like us on Facebook at facebook.com/nyscomptroller </w:t>
      </w:r>
      <w:r>
        <w:t xml:space="preserve"> </w:t>
      </w:r>
    </w:p>
    <w:p w:rsidR="00B942BD" w:rsidRDefault="004E3912">
      <w:pPr>
        <w:ind w:left="-3" w:right="690"/>
      </w:pPr>
      <w:r>
        <w:t>Follow us on Twitter @nyscomptroller</w:t>
      </w:r>
    </w:p>
    <w:sectPr w:rsidR="00B942BD">
      <w:footerReference w:type="even" r:id="rId32"/>
      <w:footerReference w:type="default" r:id="rId33"/>
      <w:footerReference w:type="first" r:id="rId34"/>
      <w:pgSz w:w="12240" w:h="15840"/>
      <w:pgMar w:top="1440" w:right="1863"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912" w:rsidRDefault="004E3912">
      <w:pPr>
        <w:spacing w:after="0" w:line="240" w:lineRule="auto"/>
      </w:pPr>
      <w:r>
        <w:separator/>
      </w:r>
    </w:p>
  </w:endnote>
  <w:endnote w:type="continuationSeparator" w:id="0">
    <w:p w:rsidR="004E3912" w:rsidRDefault="004E3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BD" w:rsidRDefault="00B942BD">
    <w:pPr>
      <w:spacing w:after="160" w:line="259" w:lineRule="auto"/>
      <w:ind w:left="0" w:righ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BD" w:rsidRDefault="00B942BD">
    <w:pPr>
      <w:spacing w:after="160" w:line="259" w:lineRule="auto"/>
      <w:ind w:left="0" w:righ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BD" w:rsidRDefault="00B942BD">
    <w:pPr>
      <w:spacing w:after="160" w:line="259" w:lineRule="auto"/>
      <w:ind w:left="0" w:righ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BD" w:rsidRDefault="004E3912">
    <w:pPr>
      <w:spacing w:after="0" w:line="259" w:lineRule="auto"/>
      <w:ind w:left="0" w:right="0" w:firstLine="0"/>
    </w:pPr>
    <w:r>
      <w:fldChar w:fldCharType="begin"/>
    </w:r>
    <w:r>
      <w:instrText xml:space="preserve"> PAGE   \* MERGEFORMAT </w:instrText>
    </w:r>
    <w:r>
      <w:fldChar w:fldCharType="separate"/>
    </w:r>
    <w:r w:rsidR="00207366" w:rsidRPr="00207366">
      <w:rPr>
        <w:b/>
        <w:noProof/>
        <w:color w:val="F79646"/>
        <w:sz w:val="18"/>
      </w:rPr>
      <w:t>4</w:t>
    </w:r>
    <w:r>
      <w:rPr>
        <w:b/>
        <w:color w:val="F79646"/>
        <w:sz w:val="18"/>
      </w:rPr>
      <w:fldChar w:fldCharType="end"/>
    </w:r>
    <w:r>
      <w:rPr>
        <w:sz w:val="18"/>
      </w:rPr>
      <w:t xml:space="preserve">       </w:t>
    </w:r>
    <w:r>
      <w:rPr>
        <w:b/>
        <w:sz w:val="18"/>
      </w:rPr>
      <w:t>Office of the New York State Comptroller</w:t>
    </w:r>
    <w:r>
      <w:rPr>
        <w:sz w:val="18"/>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BD" w:rsidRDefault="004E3912">
    <w:pPr>
      <w:spacing w:after="0" w:line="259" w:lineRule="auto"/>
      <w:ind w:left="0" w:right="-1395" w:firstLine="0"/>
      <w:jc w:val="right"/>
    </w:pPr>
    <w:r>
      <w:rPr>
        <w:b/>
        <w:sz w:val="18"/>
      </w:rPr>
      <w:t>Office of the Ne</w:t>
    </w:r>
    <w:r>
      <w:rPr>
        <w:b/>
        <w:sz w:val="18"/>
      </w:rPr>
      <w:t>w York State Comptroller</w:t>
    </w:r>
    <w:r>
      <w:rPr>
        <w:sz w:val="18"/>
      </w:rPr>
      <w:t xml:space="preserve">       </w:t>
    </w:r>
    <w:r>
      <w:fldChar w:fldCharType="begin"/>
    </w:r>
    <w:r>
      <w:instrText xml:space="preserve"> PAGE   \* MERGEFORMAT </w:instrText>
    </w:r>
    <w:r>
      <w:fldChar w:fldCharType="separate"/>
    </w:r>
    <w:r w:rsidR="00207366" w:rsidRPr="00207366">
      <w:rPr>
        <w:b/>
        <w:noProof/>
        <w:color w:val="F79646"/>
        <w:sz w:val="18"/>
      </w:rPr>
      <w:t>3</w:t>
    </w:r>
    <w:r>
      <w:rPr>
        <w:b/>
        <w:color w:val="F79646"/>
        <w:sz w:val="1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BD" w:rsidRDefault="004E3912">
    <w:pPr>
      <w:spacing w:after="0" w:line="259" w:lineRule="auto"/>
      <w:ind w:left="0" w:right="-1395" w:firstLine="0"/>
      <w:jc w:val="right"/>
    </w:pPr>
    <w:r>
      <w:rPr>
        <w:b/>
        <w:sz w:val="18"/>
      </w:rPr>
      <w:t>Office of the New York State Comptroller</w:t>
    </w:r>
    <w:r>
      <w:rPr>
        <w:sz w:val="18"/>
      </w:rPr>
      <w:t xml:space="preserve">       </w:t>
    </w:r>
    <w:r>
      <w:fldChar w:fldCharType="begin"/>
    </w:r>
    <w:r>
      <w:instrText xml:space="preserve"> PAGE   \* MERGEFORMAT </w:instrText>
    </w:r>
    <w:r>
      <w:fldChar w:fldCharType="separate"/>
    </w:r>
    <w:r>
      <w:rPr>
        <w:b/>
        <w:color w:val="F79646"/>
        <w:sz w:val="18"/>
      </w:rPr>
      <w:t>1</w:t>
    </w:r>
    <w:r>
      <w:rPr>
        <w:b/>
        <w:color w:val="F79646"/>
        <w:sz w:val="18"/>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BD" w:rsidRDefault="00B942BD">
    <w:pPr>
      <w:spacing w:after="160" w:line="259" w:lineRule="auto"/>
      <w:ind w:left="0" w:right="0"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BD" w:rsidRDefault="00B942BD">
    <w:pPr>
      <w:spacing w:after="160" w:line="259" w:lineRule="auto"/>
      <w:ind w:left="0" w:right="0"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BD" w:rsidRDefault="00B942BD">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912" w:rsidRDefault="004E3912">
      <w:pPr>
        <w:spacing w:after="121" w:line="259" w:lineRule="auto"/>
        <w:ind w:left="0" w:right="0" w:firstLine="0"/>
      </w:pPr>
      <w:r>
        <w:separator/>
      </w:r>
    </w:p>
  </w:footnote>
  <w:footnote w:type="continuationSeparator" w:id="0">
    <w:p w:rsidR="004E3912" w:rsidRDefault="004E3912">
      <w:pPr>
        <w:spacing w:after="121" w:line="259" w:lineRule="auto"/>
        <w:ind w:left="0" w:right="0" w:firstLine="0"/>
      </w:pPr>
      <w:r>
        <w:continuationSeparator/>
      </w:r>
    </w:p>
  </w:footnote>
  <w:footnote w:id="1">
    <w:p w:rsidR="00B942BD" w:rsidRDefault="004E3912">
      <w:pPr>
        <w:pStyle w:val="footnotedescription"/>
        <w:spacing w:after="121" w:line="259" w:lineRule="auto"/>
      </w:pPr>
      <w:r>
        <w:rPr>
          <w:rStyle w:val="footnotemark"/>
        </w:rPr>
        <w:footnoteRef/>
      </w:r>
      <w:r>
        <w:t xml:space="preserve">   New York State General Municipal Law, Section 39</w:t>
      </w:r>
    </w:p>
  </w:footnote>
  <w:footnote w:id="2">
    <w:p w:rsidR="00B942BD" w:rsidRDefault="004E3912">
      <w:pPr>
        <w:pStyle w:val="footnotedescription"/>
        <w:ind w:right="663"/>
      </w:pPr>
      <w:r>
        <w:rPr>
          <w:rStyle w:val="footnotemark"/>
        </w:rPr>
        <w:footnoteRef/>
      </w:r>
      <w:r>
        <w:t xml:space="preserve">   One non-interest-bearing checking account contained grant funds that were not authorized to be maintained in an interest-bearing account.</w:t>
      </w:r>
    </w:p>
  </w:footnote>
  <w:footnote w:id="3">
    <w:p w:rsidR="00B942BD" w:rsidRDefault="004E3912">
      <w:pPr>
        <w:pStyle w:val="footnotedescription"/>
      </w:pPr>
      <w:r>
        <w:rPr>
          <w:rStyle w:val="footnotemark"/>
        </w:rPr>
        <w:footnoteRef/>
      </w:r>
      <w:r>
        <w:t xml:space="preserve">   The average available funds for investment consisted of ap</w:t>
      </w:r>
      <w:r>
        <w:t>proximately $3.0 million in operating funds and the remainder in capital projects funds, which consisted of unexpended funds from completed capital projects.</w:t>
      </w:r>
    </w:p>
  </w:footnote>
  <w:footnote w:id="4">
    <w:p w:rsidR="00B942BD" w:rsidRDefault="004E3912">
      <w:pPr>
        <w:pStyle w:val="footnotedescription"/>
        <w:spacing w:after="0"/>
        <w:ind w:right="249"/>
      </w:pPr>
      <w:r>
        <w:rPr>
          <w:rStyle w:val="footnotemark"/>
        </w:rPr>
        <w:footnoteRef/>
      </w:r>
      <w:r>
        <w:t xml:space="preserve">   The financial institution did not require minimum investment amounts to receive the stated int</w:t>
      </w:r>
      <w:r>
        <w:t>erest rates and allowed for funds to be withdrawn at any time without penalties or fees.</w:t>
      </w:r>
    </w:p>
  </w:footnote>
  <w:footnote w:id="5">
    <w:p w:rsidR="00B942BD" w:rsidRDefault="004E3912">
      <w:pPr>
        <w:pStyle w:val="footnotedescription"/>
        <w:spacing w:after="0" w:line="259" w:lineRule="auto"/>
        <w:ind w:left="3"/>
      </w:pPr>
      <w:r>
        <w:rPr>
          <w:rStyle w:val="footnotemark"/>
        </w:rPr>
        <w:footnoteRef/>
      </w:r>
      <w:r>
        <w:t xml:space="preserve">   We also issued a separate audit report, </w:t>
      </w:r>
      <w:r>
        <w:rPr>
          <w:i/>
        </w:rPr>
        <w:t>Town of Moriah – Leave Accruals (2019M-168)</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3422E"/>
    <w:multiLevelType w:val="hybridMultilevel"/>
    <w:tmpl w:val="28F6C33C"/>
    <w:lvl w:ilvl="0" w:tplc="80ACE7C6">
      <w:start w:val="1"/>
      <w:numFmt w:val="decimal"/>
      <w:lvlText w:val="%1."/>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28E06D78">
      <w:start w:val="1"/>
      <w:numFmt w:val="lowerLetter"/>
      <w:lvlText w:val="%2"/>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2B92D008">
      <w:start w:val="1"/>
      <w:numFmt w:val="lowerRoman"/>
      <w:lvlText w:val="%3"/>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5DC4B65A">
      <w:start w:val="1"/>
      <w:numFmt w:val="decimal"/>
      <w:lvlText w:val="%4"/>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11AA1184">
      <w:start w:val="1"/>
      <w:numFmt w:val="lowerLetter"/>
      <w:lvlText w:val="%5"/>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5A2CADB0">
      <w:start w:val="1"/>
      <w:numFmt w:val="lowerRoman"/>
      <w:lvlText w:val="%6"/>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BA8AD868">
      <w:start w:val="1"/>
      <w:numFmt w:val="decimal"/>
      <w:lvlText w:val="%7"/>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916A0008">
      <w:start w:val="1"/>
      <w:numFmt w:val="lowerLetter"/>
      <w:lvlText w:val="%8"/>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ADBE00D8">
      <w:start w:val="1"/>
      <w:numFmt w:val="lowerRoman"/>
      <w:lvlText w:val="%9"/>
      <w:lvlJc w:val="left"/>
      <w:pPr>
        <w:ind w:left="64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2BD"/>
    <w:rsid w:val="00207366"/>
    <w:rsid w:val="004E3912"/>
    <w:rsid w:val="00B94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B4D8D3-0972-430C-A552-6E4A786CB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1" w:line="265" w:lineRule="auto"/>
      <w:ind w:left="10" w:right="2604" w:hanging="10"/>
    </w:pPr>
    <w:rPr>
      <w:rFonts w:ascii="Arial" w:eastAsia="Arial" w:hAnsi="Arial" w:cs="Arial"/>
      <w:color w:val="181717"/>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color w:val="F79646"/>
      <w:sz w:val="48"/>
    </w:rPr>
  </w:style>
  <w:style w:type="paragraph" w:styleId="Heading2">
    <w:name w:val="heading 2"/>
    <w:next w:val="Normal"/>
    <w:link w:val="Heading2Char"/>
    <w:uiPriority w:val="9"/>
    <w:unhideWhenUsed/>
    <w:qFormat/>
    <w:pPr>
      <w:keepNext/>
      <w:keepLines/>
      <w:spacing w:after="0"/>
      <w:ind w:left="13" w:hanging="10"/>
      <w:outlineLvl w:val="1"/>
    </w:pPr>
    <w:rPr>
      <w:rFonts w:ascii="Arial" w:eastAsia="Arial" w:hAnsi="Arial" w:cs="Arial"/>
      <w:color w:val="F79646"/>
      <w:sz w:val="42"/>
    </w:rPr>
  </w:style>
  <w:style w:type="paragraph" w:styleId="Heading3">
    <w:name w:val="heading 3"/>
    <w:next w:val="Normal"/>
    <w:link w:val="Heading3Char"/>
    <w:uiPriority w:val="9"/>
    <w:unhideWhenUsed/>
    <w:qFormat/>
    <w:pPr>
      <w:keepNext/>
      <w:keepLines/>
      <w:spacing w:after="87"/>
      <w:ind w:left="10" w:hanging="10"/>
      <w:outlineLvl w:val="2"/>
    </w:pPr>
    <w:rPr>
      <w:rFonts w:ascii="Arial" w:eastAsia="Arial" w:hAnsi="Arial" w:cs="Arial"/>
      <w:b/>
      <w:color w:val="1F497D"/>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F79646"/>
      <w:sz w:val="42"/>
    </w:rPr>
  </w:style>
  <w:style w:type="character" w:customStyle="1" w:styleId="Heading1Char">
    <w:name w:val="Heading 1 Char"/>
    <w:link w:val="Heading1"/>
    <w:rPr>
      <w:rFonts w:ascii="Arial" w:eastAsia="Arial" w:hAnsi="Arial" w:cs="Arial"/>
      <w:color w:val="F79646"/>
      <w:sz w:val="48"/>
    </w:rPr>
  </w:style>
  <w:style w:type="paragraph" w:customStyle="1" w:styleId="footnotedescription">
    <w:name w:val="footnote description"/>
    <w:next w:val="Normal"/>
    <w:link w:val="footnotedescriptionChar"/>
    <w:hidden/>
    <w:pPr>
      <w:spacing w:after="120" w:line="261" w:lineRule="auto"/>
    </w:pPr>
    <w:rPr>
      <w:rFonts w:ascii="Arial" w:eastAsia="Arial" w:hAnsi="Arial" w:cs="Arial"/>
      <w:color w:val="181717"/>
      <w:sz w:val="16"/>
    </w:rPr>
  </w:style>
  <w:style w:type="character" w:customStyle="1" w:styleId="footnotedescriptionChar">
    <w:name w:val="footnote description Char"/>
    <w:link w:val="footnotedescription"/>
    <w:rPr>
      <w:rFonts w:ascii="Arial" w:eastAsia="Arial" w:hAnsi="Arial" w:cs="Arial"/>
      <w:color w:val="181717"/>
      <w:sz w:val="16"/>
    </w:rPr>
  </w:style>
  <w:style w:type="character" w:customStyle="1" w:styleId="Heading3Char">
    <w:name w:val="Heading 3 Char"/>
    <w:link w:val="Heading3"/>
    <w:rPr>
      <w:rFonts w:ascii="Arial" w:eastAsia="Arial" w:hAnsi="Arial" w:cs="Arial"/>
      <w:b/>
      <w:color w:val="1F497D"/>
      <w:sz w:val="30"/>
    </w:rPr>
  </w:style>
  <w:style w:type="character" w:customStyle="1" w:styleId="footnotemark">
    <w:name w:val="footnote mark"/>
    <w:hidden/>
    <w:rPr>
      <w:rFonts w:ascii="Arial" w:eastAsia="Arial" w:hAnsi="Arial" w:cs="Arial"/>
      <w:color w:val="181717"/>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image" Target="media/image30.png"/><Relationship Id="rId34"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70.png"/><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20.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60.png"/><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50.png"/><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40.png"/><Relationship Id="rId27"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cp:lastModifiedBy>user1</cp:lastModifiedBy>
  <cp:revision>2</cp:revision>
  <dcterms:created xsi:type="dcterms:W3CDTF">2019-11-27T16:01:00Z</dcterms:created>
  <dcterms:modified xsi:type="dcterms:W3CDTF">2019-11-27T16:01:00Z</dcterms:modified>
</cp:coreProperties>
</file>