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F72A4" w:rsidRDefault="00B32D51">
      <w:pPr>
        <w:spacing w:after="0" w:line="259" w:lineRule="auto"/>
        <w:ind w:left="700" w:right="0" w:firstLine="0"/>
      </w:pPr>
      <w:r>
        <w:rPr>
          <w:rFonts w:ascii="Calibri" w:eastAsia="Calibri" w:hAnsi="Calibri" w:cs="Calibri"/>
          <w:noProof/>
          <w:color w:val="000000"/>
        </w:rPr>
        <mc:AlternateContent>
          <mc:Choice Requires="wpg">
            <w:drawing>
              <wp:anchor distT="0" distB="0" distL="114300" distR="114300" simplePos="0" relativeHeight="251658240" behindDoc="1" locked="0" layoutInCell="1" allowOverlap="1">
                <wp:simplePos x="0" y="0"/>
                <wp:positionH relativeFrom="column">
                  <wp:posOffset>429768</wp:posOffset>
                </wp:positionH>
                <wp:positionV relativeFrom="paragraph">
                  <wp:posOffset>-123998</wp:posOffset>
                </wp:positionV>
                <wp:extent cx="1371600" cy="355600"/>
                <wp:effectExtent l="0" t="0" r="0" b="0"/>
                <wp:wrapNone/>
                <wp:docPr id="4681" name="Group 4681"/>
                <wp:cNvGraphicFramePr/>
                <a:graphic xmlns:a="http://schemas.openxmlformats.org/drawingml/2006/main">
                  <a:graphicData uri="http://schemas.microsoft.com/office/word/2010/wordprocessingGroup">
                    <wpg:wgp>
                      <wpg:cNvGrpSpPr/>
                      <wpg:grpSpPr>
                        <a:xfrm>
                          <a:off x="0" y="0"/>
                          <a:ext cx="1371600" cy="355600"/>
                          <a:chOff x="0" y="0"/>
                          <a:chExt cx="1371600" cy="355600"/>
                        </a:xfrm>
                      </wpg:grpSpPr>
                      <wps:wsp>
                        <wps:cNvPr id="11" name="Shape 11"/>
                        <wps:cNvSpPr/>
                        <wps:spPr>
                          <a:xfrm>
                            <a:off x="19136" y="0"/>
                            <a:ext cx="1352461" cy="0"/>
                          </a:xfrm>
                          <a:custGeom>
                            <a:avLst/>
                            <a:gdLst/>
                            <a:ahLst/>
                            <a:cxnLst/>
                            <a:rect l="0" t="0" r="0" b="0"/>
                            <a:pathLst>
                              <a:path w="1352461">
                                <a:moveTo>
                                  <a:pt x="0" y="0"/>
                                </a:moveTo>
                                <a:lnTo>
                                  <a:pt x="1352461" y="0"/>
                                </a:lnTo>
                              </a:path>
                            </a:pathLst>
                          </a:custGeom>
                          <a:ln w="12700" cap="flat">
                            <a:miter lim="127000"/>
                          </a:ln>
                        </wps:spPr>
                        <wps:style>
                          <a:lnRef idx="1">
                            <a:srgbClr val="F9B074"/>
                          </a:lnRef>
                          <a:fillRef idx="0">
                            <a:srgbClr val="000000">
                              <a:alpha val="0"/>
                            </a:srgbClr>
                          </a:fillRef>
                          <a:effectRef idx="0">
                            <a:scrgbClr r="0" g="0" b="0"/>
                          </a:effectRef>
                          <a:fontRef idx="none"/>
                        </wps:style>
                        <wps:bodyPr/>
                      </wps:wsp>
                      <wps:wsp>
                        <wps:cNvPr id="12" name="Shape 12"/>
                        <wps:cNvSpPr/>
                        <wps:spPr>
                          <a:xfrm>
                            <a:off x="0" y="355600"/>
                            <a:ext cx="1371600" cy="0"/>
                          </a:xfrm>
                          <a:custGeom>
                            <a:avLst/>
                            <a:gdLst/>
                            <a:ahLst/>
                            <a:cxnLst/>
                            <a:rect l="0" t="0" r="0" b="0"/>
                            <a:pathLst>
                              <a:path w="1371600">
                                <a:moveTo>
                                  <a:pt x="0" y="0"/>
                                </a:moveTo>
                                <a:lnTo>
                                  <a:pt x="1371600" y="0"/>
                                </a:lnTo>
                              </a:path>
                            </a:pathLst>
                          </a:custGeom>
                          <a:ln w="12700" cap="flat">
                            <a:miter lim="127000"/>
                          </a:ln>
                        </wps:spPr>
                        <wps:style>
                          <a:lnRef idx="1">
                            <a:srgbClr val="F9B07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81" style="width:108pt;height:28pt;position:absolute;z-index:-2147483643;mso-position-horizontal-relative:text;mso-position-horizontal:absolute;margin-left:33.84pt;mso-position-vertical-relative:text;margin-top:-9.76367pt;" coordsize="13716,3556">
                <v:shape id="Shape 11" style="position:absolute;width:13524;height:0;left:191;top:0;" coordsize="1352461,0" path="m0,0l1352461,0">
                  <v:stroke weight="1pt" endcap="flat" joinstyle="miter" miterlimit="10" on="true" color="#f9b074"/>
                  <v:fill on="false" color="#000000" opacity="0"/>
                </v:shape>
                <v:shape id="Shape 12" style="position:absolute;width:13716;height:0;left:0;top:3556;" coordsize="1371600,0" path="m0,0l1371600,0">
                  <v:stroke weight="1pt" endcap="flat" joinstyle="miter" miterlimit="10" on="true" color="#f9b074"/>
                  <v:fill on="false" color="#000000" opacity="0"/>
                </v:shape>
              </v:group>
            </w:pict>
          </mc:Fallback>
        </mc:AlternateContent>
      </w: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772400" cy="4410339"/>
                <wp:effectExtent l="0" t="0" r="0" b="0"/>
                <wp:wrapTopAndBottom/>
                <wp:docPr id="4680" name="Group 4680"/>
                <wp:cNvGraphicFramePr/>
                <a:graphic xmlns:a="http://schemas.openxmlformats.org/drawingml/2006/main">
                  <a:graphicData uri="http://schemas.microsoft.com/office/word/2010/wordprocessingGroup">
                    <wpg:wgp>
                      <wpg:cNvGrpSpPr/>
                      <wpg:grpSpPr>
                        <a:xfrm>
                          <a:off x="0" y="0"/>
                          <a:ext cx="7772400" cy="4410339"/>
                          <a:chOff x="0" y="0"/>
                          <a:chExt cx="7772400" cy="4410339"/>
                        </a:xfrm>
                      </wpg:grpSpPr>
                      <wps:wsp>
                        <wps:cNvPr id="6484" name="Shape 6484"/>
                        <wps:cNvSpPr/>
                        <wps:spPr>
                          <a:xfrm>
                            <a:off x="0" y="0"/>
                            <a:ext cx="7772400" cy="3771900"/>
                          </a:xfrm>
                          <a:custGeom>
                            <a:avLst/>
                            <a:gdLst/>
                            <a:ahLst/>
                            <a:cxnLst/>
                            <a:rect l="0" t="0" r="0" b="0"/>
                            <a:pathLst>
                              <a:path w="7772400" h="3771900">
                                <a:moveTo>
                                  <a:pt x="0" y="0"/>
                                </a:moveTo>
                                <a:lnTo>
                                  <a:pt x="7772400" y="0"/>
                                </a:lnTo>
                                <a:lnTo>
                                  <a:pt x="7772400" y="3771900"/>
                                </a:lnTo>
                                <a:lnTo>
                                  <a:pt x="0" y="3771900"/>
                                </a:lnTo>
                                <a:lnTo>
                                  <a:pt x="0" y="0"/>
                                </a:lnTo>
                              </a:path>
                            </a:pathLst>
                          </a:custGeom>
                          <a:ln w="0" cap="flat">
                            <a:miter lim="127000"/>
                          </a:ln>
                        </wps:spPr>
                        <wps:style>
                          <a:lnRef idx="0">
                            <a:srgbClr val="000000">
                              <a:alpha val="0"/>
                            </a:srgbClr>
                          </a:lnRef>
                          <a:fillRef idx="1">
                            <a:srgbClr val="8EB4E3"/>
                          </a:fillRef>
                          <a:effectRef idx="0">
                            <a:scrgbClr r="0" g="0" b="0"/>
                          </a:effectRef>
                          <a:fontRef idx="none"/>
                        </wps:style>
                        <wps:bodyPr/>
                      </wps:wsp>
                      <wps:wsp>
                        <wps:cNvPr id="6485" name="Shape 6485"/>
                        <wps:cNvSpPr/>
                        <wps:spPr>
                          <a:xfrm>
                            <a:off x="0" y="0"/>
                            <a:ext cx="7772400" cy="742429"/>
                          </a:xfrm>
                          <a:custGeom>
                            <a:avLst/>
                            <a:gdLst/>
                            <a:ahLst/>
                            <a:cxnLst/>
                            <a:rect l="0" t="0" r="0" b="0"/>
                            <a:pathLst>
                              <a:path w="7772400" h="742429">
                                <a:moveTo>
                                  <a:pt x="0" y="0"/>
                                </a:moveTo>
                                <a:lnTo>
                                  <a:pt x="7772400" y="0"/>
                                </a:lnTo>
                                <a:lnTo>
                                  <a:pt x="7772400" y="742429"/>
                                </a:lnTo>
                                <a:lnTo>
                                  <a:pt x="0" y="742429"/>
                                </a:lnTo>
                                <a:lnTo>
                                  <a:pt x="0" y="0"/>
                                </a:lnTo>
                              </a:path>
                            </a:pathLst>
                          </a:custGeom>
                          <a:ln w="0" cap="flat">
                            <a:miter lim="127000"/>
                          </a:ln>
                        </wps:spPr>
                        <wps:style>
                          <a:lnRef idx="0">
                            <a:srgbClr val="000000">
                              <a:alpha val="0"/>
                            </a:srgbClr>
                          </a:lnRef>
                          <a:fillRef idx="1">
                            <a:srgbClr val="1F497D"/>
                          </a:fillRef>
                          <a:effectRef idx="0">
                            <a:scrgbClr r="0" g="0" b="0"/>
                          </a:effectRef>
                          <a:fontRef idx="none"/>
                        </wps:style>
                        <wps:bodyPr/>
                      </wps:wsp>
                      <wps:wsp>
                        <wps:cNvPr id="8" name="Rectangle 8"/>
                        <wps:cNvSpPr/>
                        <wps:spPr>
                          <a:xfrm>
                            <a:off x="3814399" y="879073"/>
                            <a:ext cx="3669957" cy="206395"/>
                          </a:xfrm>
                          <a:prstGeom prst="rect">
                            <a:avLst/>
                          </a:prstGeom>
                          <a:ln>
                            <a:noFill/>
                          </a:ln>
                        </wps:spPr>
                        <wps:txbx>
                          <w:txbxContent>
                            <w:p w:rsidR="00EF72A4" w:rsidRDefault="00B32D51">
                              <w:pPr>
                                <w:spacing w:after="160" w:line="259" w:lineRule="auto"/>
                                <w:ind w:left="0" w:right="0" w:firstLine="0"/>
                              </w:pPr>
                              <w:r>
                                <w:rPr>
                                  <w:b/>
                                  <w:color w:val="FFFEFD"/>
                                  <w:sz w:val="26"/>
                                </w:rPr>
                                <w:t xml:space="preserve">REPORT OF EXAMINATION   |   </w:t>
                              </w:r>
                            </w:p>
                          </w:txbxContent>
                        </wps:txbx>
                        <wps:bodyPr horzOverflow="overflow" vert="horz" lIns="0" tIns="0" rIns="0" bIns="0" rtlCol="0">
                          <a:noAutofit/>
                        </wps:bodyPr>
                      </wps:wsp>
                      <wps:wsp>
                        <wps:cNvPr id="9" name="Rectangle 9"/>
                        <wps:cNvSpPr/>
                        <wps:spPr>
                          <a:xfrm>
                            <a:off x="6580530" y="879073"/>
                            <a:ext cx="1110651" cy="206395"/>
                          </a:xfrm>
                          <a:prstGeom prst="rect">
                            <a:avLst/>
                          </a:prstGeom>
                          <a:ln>
                            <a:noFill/>
                          </a:ln>
                        </wps:spPr>
                        <wps:txbx>
                          <w:txbxContent>
                            <w:p w:rsidR="00EF72A4" w:rsidRDefault="00B32D51">
                              <w:pPr>
                                <w:spacing w:after="160" w:line="259" w:lineRule="auto"/>
                                <w:ind w:left="0" w:right="0" w:firstLine="0"/>
                              </w:pPr>
                              <w:r>
                                <w:rPr>
                                  <w:b/>
                                  <w:color w:val="FFFEFD"/>
                                  <w:sz w:val="26"/>
                                </w:rPr>
                                <w:t>2019M-168</w:t>
                              </w:r>
                            </w:p>
                          </w:txbxContent>
                        </wps:txbx>
                        <wps:bodyPr horzOverflow="overflow" vert="horz" lIns="0" tIns="0" rIns="0" bIns="0" rtlCol="0">
                          <a:noAutofit/>
                        </wps:bodyPr>
                      </wps:wsp>
                      <wps:wsp>
                        <wps:cNvPr id="10" name="Rectangle 10"/>
                        <wps:cNvSpPr/>
                        <wps:spPr>
                          <a:xfrm>
                            <a:off x="2731775" y="513313"/>
                            <a:ext cx="6275598" cy="158766"/>
                          </a:xfrm>
                          <a:prstGeom prst="rect">
                            <a:avLst/>
                          </a:prstGeom>
                          <a:ln>
                            <a:noFill/>
                          </a:ln>
                        </wps:spPr>
                        <wps:txbx>
                          <w:txbxContent>
                            <w:p w:rsidR="00EF72A4" w:rsidRDefault="00B32D51">
                              <w:pPr>
                                <w:spacing w:after="160" w:line="259" w:lineRule="auto"/>
                                <w:ind w:left="0" w:right="0" w:firstLine="0"/>
                              </w:pPr>
                              <w:r>
                                <w:rPr>
                                  <w:b/>
                                  <w:color w:val="FFFEFD"/>
                                  <w:sz w:val="20"/>
                                </w:rPr>
                                <w:t xml:space="preserve">DIVISION OF LOCAL GOVERNMENT AND SCHOOL ACCOUNTABILITY </w:t>
                              </w:r>
                            </w:p>
                          </w:txbxContent>
                        </wps:txbx>
                        <wps:bodyPr horzOverflow="overflow" vert="horz" lIns="0" tIns="0" rIns="0" bIns="0" rtlCol="0">
                          <a:noAutofit/>
                        </wps:bodyPr>
                      </wps:wsp>
                      <wps:wsp>
                        <wps:cNvPr id="16" name="Rectangle 16"/>
                        <wps:cNvSpPr/>
                        <wps:spPr>
                          <a:xfrm>
                            <a:off x="1170432" y="3312161"/>
                            <a:ext cx="3397942" cy="444543"/>
                          </a:xfrm>
                          <a:prstGeom prst="rect">
                            <a:avLst/>
                          </a:prstGeom>
                          <a:ln>
                            <a:noFill/>
                          </a:ln>
                        </wps:spPr>
                        <wps:txbx>
                          <w:txbxContent>
                            <w:p w:rsidR="00EF72A4" w:rsidRDefault="00B32D51">
                              <w:pPr>
                                <w:spacing w:after="160" w:line="259" w:lineRule="auto"/>
                                <w:ind w:left="0" w:right="0" w:firstLine="0"/>
                              </w:pPr>
                              <w:r>
                                <w:rPr>
                                  <w:b/>
                                  <w:color w:val="FFFEFD"/>
                                  <w:sz w:val="56"/>
                                </w:rPr>
                                <w:t>Town of Moriah</w:t>
                              </w:r>
                            </w:p>
                          </w:txbxContent>
                        </wps:txbx>
                        <wps:bodyPr horzOverflow="overflow" vert="horz" lIns="0" tIns="0" rIns="0" bIns="0" rtlCol="0">
                          <a:noAutofit/>
                        </wps:bodyPr>
                      </wps:wsp>
                      <wps:wsp>
                        <wps:cNvPr id="17" name="Rectangle 17"/>
                        <wps:cNvSpPr/>
                        <wps:spPr>
                          <a:xfrm>
                            <a:off x="1170432" y="4143816"/>
                            <a:ext cx="2906603" cy="346744"/>
                          </a:xfrm>
                          <a:prstGeom prst="rect">
                            <a:avLst/>
                          </a:prstGeom>
                          <a:ln>
                            <a:noFill/>
                          </a:ln>
                        </wps:spPr>
                        <wps:txbx>
                          <w:txbxContent>
                            <w:p w:rsidR="00EF72A4" w:rsidRDefault="00B32D51">
                              <w:pPr>
                                <w:spacing w:after="160" w:line="259" w:lineRule="auto"/>
                                <w:ind w:left="0" w:right="0" w:firstLine="0"/>
                              </w:pPr>
                              <w:r>
                                <w:rPr>
                                  <w:b/>
                                  <w:color w:val="1F497D"/>
                                  <w:sz w:val="44"/>
                                </w:rPr>
                                <w:t>Leave Accruals</w:t>
                              </w:r>
                            </w:p>
                          </w:txbxContent>
                        </wps:txbx>
                        <wps:bodyPr horzOverflow="overflow" vert="horz" lIns="0" tIns="0" rIns="0" bIns="0" rtlCol="0">
                          <a:noAutofit/>
                        </wps:bodyPr>
                      </wps:wsp>
                      <wps:wsp>
                        <wps:cNvPr id="18" name="Rectangle 18"/>
                        <wps:cNvSpPr/>
                        <wps:spPr>
                          <a:xfrm>
                            <a:off x="3356087" y="4123845"/>
                            <a:ext cx="112697" cy="381037"/>
                          </a:xfrm>
                          <a:prstGeom prst="rect">
                            <a:avLst/>
                          </a:prstGeom>
                          <a:ln>
                            <a:noFill/>
                          </a:ln>
                        </wps:spPr>
                        <wps:txbx>
                          <w:txbxContent>
                            <w:p w:rsidR="00EF72A4" w:rsidRDefault="00B32D51">
                              <w:pPr>
                                <w:spacing w:after="160" w:line="259" w:lineRule="auto"/>
                                <w:ind w:left="0" w:right="0" w:firstLine="0"/>
                              </w:pPr>
                              <w:r>
                                <w:rPr>
                                  <w:b/>
                                  <w:color w:val="1F497D"/>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680" style="width:612pt;height:347.271pt;position:absolute;mso-position-horizontal-relative:page;mso-position-horizontal:absolute;margin-left:0pt;mso-position-vertical-relative:page;margin-top:0pt;" coordsize="77724,44103">
                <v:shape id="Shape 6486" style="position:absolute;width:77724;height:37719;left:0;top:0;" coordsize="7772400,3771900" path="m0,0l7772400,0l7772400,3771900l0,3771900l0,0">
                  <v:stroke weight="0pt" endcap="flat" joinstyle="miter" miterlimit="10" on="false" color="#000000" opacity="0"/>
                  <v:fill on="true" color="#8eb4e3"/>
                </v:shape>
                <v:shape id="Shape 6487" style="position:absolute;width:77724;height:7424;left:0;top:0;" coordsize="7772400,742429" path="m0,0l7772400,0l7772400,742429l0,742429l0,0">
                  <v:stroke weight="0pt" endcap="flat" joinstyle="miter" miterlimit="10" on="false" color="#000000" opacity="0"/>
                  <v:fill on="true" color="#1f497d"/>
                </v:shape>
                <v:rect id="Rectangle 8" style="position:absolute;width:36699;height:2063;left:38143;top:8790;" filled="f" stroked="f">
                  <v:textbox inset="0,0,0,0">
                    <w:txbxContent>
                      <w:p>
                        <w:pPr>
                          <w:spacing w:before="0" w:after="160" w:line="259" w:lineRule="auto"/>
                          <w:ind w:left="0" w:right="0" w:firstLine="0"/>
                        </w:pPr>
                        <w:r>
                          <w:rPr>
                            <w:rFonts w:cs="Arial" w:hAnsi="Arial" w:eastAsia="Arial" w:ascii="Arial"/>
                            <w:b w:val="1"/>
                            <w:color w:val="fffefd"/>
                            <w:sz w:val="26"/>
                          </w:rPr>
                          <w:t xml:space="preserve">REPORT OF EXAMINATION   |   </w:t>
                        </w:r>
                      </w:p>
                    </w:txbxContent>
                  </v:textbox>
                </v:rect>
                <v:rect id="Rectangle 9" style="position:absolute;width:11106;height:2063;left:65805;top:8790;" filled="f" stroked="f">
                  <v:textbox inset="0,0,0,0">
                    <w:txbxContent>
                      <w:p>
                        <w:pPr>
                          <w:spacing w:before="0" w:after="160" w:line="259" w:lineRule="auto"/>
                          <w:ind w:left="0" w:right="0" w:firstLine="0"/>
                        </w:pPr>
                        <w:r>
                          <w:rPr>
                            <w:rFonts w:cs="Arial" w:hAnsi="Arial" w:eastAsia="Arial" w:ascii="Arial"/>
                            <w:b w:val="1"/>
                            <w:color w:val="fffefd"/>
                            <w:sz w:val="26"/>
                          </w:rPr>
                          <w:t xml:space="preserve">2019M-168</w:t>
                        </w:r>
                      </w:p>
                    </w:txbxContent>
                  </v:textbox>
                </v:rect>
                <v:rect id="Rectangle 10" style="position:absolute;width:62755;height:1587;left:27317;top:5133;" filled="f" stroked="f">
                  <v:textbox inset="0,0,0,0">
                    <w:txbxContent>
                      <w:p>
                        <w:pPr>
                          <w:spacing w:before="0" w:after="160" w:line="259" w:lineRule="auto"/>
                          <w:ind w:left="0" w:right="0" w:firstLine="0"/>
                        </w:pPr>
                        <w:r>
                          <w:rPr>
                            <w:rFonts w:cs="Arial" w:hAnsi="Arial" w:eastAsia="Arial" w:ascii="Arial"/>
                            <w:b w:val="1"/>
                            <w:color w:val="fffefd"/>
                            <w:sz w:val="20"/>
                          </w:rPr>
                          <w:t xml:space="preserve">DIVISION OF LOCAL GOVERNMENT AND SCHOOL ACCOUNTABILITY </w:t>
                        </w:r>
                      </w:p>
                    </w:txbxContent>
                  </v:textbox>
                </v:rect>
                <v:rect id="Rectangle 16" style="position:absolute;width:33979;height:4445;left:11704;top:33121;" filled="f" stroked="f">
                  <v:textbox inset="0,0,0,0">
                    <w:txbxContent>
                      <w:p>
                        <w:pPr>
                          <w:spacing w:before="0" w:after="160" w:line="259" w:lineRule="auto"/>
                          <w:ind w:left="0" w:right="0" w:firstLine="0"/>
                        </w:pPr>
                        <w:r>
                          <w:rPr>
                            <w:rFonts w:cs="Arial" w:hAnsi="Arial" w:eastAsia="Arial" w:ascii="Arial"/>
                            <w:b w:val="1"/>
                            <w:color w:val="fffefd"/>
                            <w:sz w:val="56"/>
                          </w:rPr>
                          <w:t xml:space="preserve">Town of Moriah</w:t>
                        </w:r>
                      </w:p>
                    </w:txbxContent>
                  </v:textbox>
                </v:rect>
                <v:rect id="Rectangle 17" style="position:absolute;width:29066;height:3467;left:11704;top:41438;" filled="f" stroked="f">
                  <v:textbox inset="0,0,0,0">
                    <w:txbxContent>
                      <w:p>
                        <w:pPr>
                          <w:spacing w:before="0" w:after="160" w:line="259" w:lineRule="auto"/>
                          <w:ind w:left="0" w:right="0" w:firstLine="0"/>
                        </w:pPr>
                        <w:r>
                          <w:rPr>
                            <w:rFonts w:cs="Arial" w:hAnsi="Arial" w:eastAsia="Arial" w:ascii="Arial"/>
                            <w:b w:val="1"/>
                            <w:color w:val="1f497d"/>
                            <w:sz w:val="44"/>
                          </w:rPr>
                          <w:t xml:space="preserve">Leave Accruals</w:t>
                        </w:r>
                      </w:p>
                    </w:txbxContent>
                  </v:textbox>
                </v:rect>
                <v:rect id="Rectangle 18" style="position:absolute;width:1126;height:3810;left:33560;top:41238;" filled="f" stroked="f">
                  <v:textbox inset="0,0,0,0">
                    <w:txbxContent>
                      <w:p>
                        <w:pPr>
                          <w:spacing w:before="0" w:after="160" w:line="259" w:lineRule="auto"/>
                          <w:ind w:left="0" w:right="0" w:firstLine="0"/>
                        </w:pPr>
                        <w:r>
                          <w:rPr>
                            <w:rFonts w:cs="Arial" w:hAnsi="Arial" w:eastAsia="Arial" w:ascii="Arial"/>
                            <w:b w:val="1"/>
                            <w:color w:val="1f497d"/>
                            <w:sz w:val="48"/>
                          </w:rPr>
                          <w:t xml:space="preserve"> </w:t>
                        </w:r>
                      </w:p>
                    </w:txbxContent>
                  </v:textbox>
                </v:rect>
                <w10:wrap type="topAndBottom"/>
              </v:group>
            </w:pict>
          </mc:Fallback>
        </mc:AlternateContent>
      </w: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8432800</wp:posOffset>
            </wp:positionV>
            <wp:extent cx="7772400" cy="1618488"/>
            <wp:effectExtent l="0" t="0" r="0" b="0"/>
            <wp:wrapTopAndBottom/>
            <wp:docPr id="6167" name="Picture 6167"/>
            <wp:cNvGraphicFramePr/>
            <a:graphic xmlns:a="http://schemas.openxmlformats.org/drawingml/2006/main">
              <a:graphicData uri="http://schemas.openxmlformats.org/drawingml/2006/picture">
                <pic:pic xmlns:pic="http://schemas.openxmlformats.org/drawingml/2006/picture">
                  <pic:nvPicPr>
                    <pic:cNvPr id="6167" name="Picture 6167"/>
                    <pic:cNvPicPr/>
                  </pic:nvPicPr>
                  <pic:blipFill>
                    <a:blip r:embed="rId7"/>
                    <a:stretch>
                      <a:fillRect/>
                    </a:stretch>
                  </pic:blipFill>
                  <pic:spPr>
                    <a:xfrm>
                      <a:off x="0" y="0"/>
                      <a:ext cx="7772400" cy="1618488"/>
                    </a:xfrm>
                    <a:prstGeom prst="rect">
                      <a:avLst/>
                    </a:prstGeom>
                  </pic:spPr>
                </pic:pic>
              </a:graphicData>
            </a:graphic>
          </wp:anchor>
        </w:drawing>
      </w:r>
      <w:r>
        <w:rPr>
          <w:b/>
          <w:color w:val="1F497D"/>
          <w:sz w:val="24"/>
        </w:rPr>
        <w:t>NOVEMBER 2018</w:t>
      </w:r>
    </w:p>
    <w:sdt>
      <w:sdtPr>
        <w:id w:val="-1168717785"/>
        <w:docPartObj>
          <w:docPartGallery w:val="Table of Contents"/>
        </w:docPartObj>
      </w:sdtPr>
      <w:sdtEndPr/>
      <w:sdtContent>
        <w:p w:rsidR="00EF72A4" w:rsidRDefault="00B32D51">
          <w:pPr>
            <w:spacing w:after="909" w:line="259" w:lineRule="auto"/>
            <w:ind w:left="0" w:right="0" w:firstLine="0"/>
          </w:pPr>
          <w:r>
            <w:rPr>
              <w:color w:val="F79646"/>
              <w:sz w:val="48"/>
            </w:rPr>
            <w:t>Contents</w:t>
          </w:r>
        </w:p>
        <w:p w:rsidR="00EF72A4" w:rsidRDefault="00B32D51">
          <w:pPr>
            <w:pStyle w:val="TOC1"/>
            <w:tabs>
              <w:tab w:val="right" w:leader="dot" w:pos="7980"/>
            </w:tabs>
          </w:pPr>
          <w:r>
            <w:lastRenderedPageBreak/>
            <w:fldChar w:fldCharType="begin"/>
          </w:r>
          <w:r>
            <w:instrText xml:space="preserve"> TOC \o "1-2" \h \z \u </w:instrText>
          </w:r>
          <w:r>
            <w:fldChar w:fldCharType="separate"/>
          </w:r>
          <w:hyperlink w:anchor="_Toc6415">
            <w:r>
              <w:t>Report Highlights</w:t>
            </w:r>
            <w:r>
              <w:tab/>
            </w:r>
            <w:r>
              <w:fldChar w:fldCharType="begin"/>
            </w:r>
            <w:r>
              <w:instrText xml:space="preserve">PAGEREF _Toc6415 </w:instrText>
            </w:r>
            <w:r>
              <w:instrText>\h</w:instrText>
            </w:r>
            <w:r>
              <w:fldChar w:fldCharType="separate"/>
            </w:r>
            <w:r>
              <w:t>1</w:t>
            </w:r>
            <w:r>
              <w:fldChar w:fldCharType="end"/>
            </w:r>
          </w:hyperlink>
        </w:p>
        <w:p w:rsidR="00EF72A4" w:rsidRDefault="00B32D51">
          <w:pPr>
            <w:pStyle w:val="TOC1"/>
            <w:tabs>
              <w:tab w:val="right" w:leader="dot" w:pos="7980"/>
            </w:tabs>
          </w:pPr>
          <w:hyperlink w:anchor="_Toc6416">
            <w:r>
              <w:t>Leave Accruals</w:t>
            </w:r>
            <w:r>
              <w:tab/>
            </w:r>
            <w:r>
              <w:fldChar w:fldCharType="begin"/>
            </w:r>
            <w:r>
              <w:instrText>PAGEREF _Toc6416 \h</w:instrText>
            </w:r>
            <w:r>
              <w:fldChar w:fldCharType="separate"/>
            </w:r>
            <w:r>
              <w:t>2</w:t>
            </w:r>
            <w:r>
              <w:fldChar w:fldCharType="end"/>
            </w:r>
          </w:hyperlink>
        </w:p>
        <w:p w:rsidR="00EF72A4" w:rsidRDefault="00B32D51">
          <w:pPr>
            <w:pStyle w:val="TOC2"/>
            <w:tabs>
              <w:tab w:val="right" w:leader="dot" w:pos="7980"/>
            </w:tabs>
          </w:pPr>
          <w:hyperlink w:anchor="_Toc6417">
            <w:r>
              <w:t>How Do Officials Accurately Maintain Employees’ Leave Accrual Records?</w:t>
            </w:r>
            <w:r>
              <w:tab/>
            </w:r>
            <w:r>
              <w:fldChar w:fldCharType="begin"/>
            </w:r>
            <w:r>
              <w:instrText>PAGEREF _Toc6417 \h</w:instrText>
            </w:r>
            <w:r>
              <w:fldChar w:fldCharType="separate"/>
            </w:r>
            <w:r>
              <w:t>2</w:t>
            </w:r>
            <w:r>
              <w:fldChar w:fldCharType="end"/>
            </w:r>
          </w:hyperlink>
        </w:p>
        <w:p w:rsidR="00EF72A4" w:rsidRDefault="00B32D51">
          <w:pPr>
            <w:pStyle w:val="TOC2"/>
            <w:tabs>
              <w:tab w:val="right" w:leader="dot" w:pos="7980"/>
            </w:tabs>
          </w:pPr>
          <w:hyperlink w:anchor="_Toc6418">
            <w:r>
              <w:t>Leave Accrual Records Were Not Accurately Maintained</w:t>
            </w:r>
            <w:r>
              <w:tab/>
            </w:r>
            <w:r>
              <w:fldChar w:fldCharType="begin"/>
            </w:r>
            <w:r>
              <w:instrText>PAGEREF _Toc6418 \</w:instrText>
            </w:r>
            <w:r>
              <w:instrText>h</w:instrText>
            </w:r>
            <w:r>
              <w:fldChar w:fldCharType="separate"/>
            </w:r>
            <w:r>
              <w:t>2</w:t>
            </w:r>
            <w:r>
              <w:fldChar w:fldCharType="end"/>
            </w:r>
          </w:hyperlink>
        </w:p>
        <w:p w:rsidR="00EF72A4" w:rsidRDefault="00B32D51">
          <w:pPr>
            <w:pStyle w:val="TOC2"/>
            <w:tabs>
              <w:tab w:val="right" w:leader="dot" w:pos="7980"/>
            </w:tabs>
          </w:pPr>
          <w:hyperlink w:anchor="_Toc6419">
            <w:r>
              <w:t>What Do We Recommend?</w:t>
            </w:r>
            <w:r>
              <w:tab/>
            </w:r>
            <w:r>
              <w:fldChar w:fldCharType="begin"/>
            </w:r>
            <w:r>
              <w:instrText>PAGEREF _Toc6419 \h</w:instrText>
            </w:r>
            <w:r>
              <w:fldChar w:fldCharType="separate"/>
            </w:r>
            <w:r>
              <w:t>4</w:t>
            </w:r>
            <w:r>
              <w:fldChar w:fldCharType="end"/>
            </w:r>
          </w:hyperlink>
        </w:p>
        <w:p w:rsidR="00EF72A4" w:rsidRDefault="00B32D51">
          <w:pPr>
            <w:pStyle w:val="TOC1"/>
            <w:tabs>
              <w:tab w:val="right" w:leader="dot" w:pos="7980"/>
            </w:tabs>
          </w:pPr>
          <w:hyperlink w:anchor="_Toc6420">
            <w:r>
              <w:t>Appendix A – Response F</w:t>
            </w:r>
            <w:r>
              <w:t>rom Town Officials</w:t>
            </w:r>
            <w:r>
              <w:tab/>
            </w:r>
            <w:r>
              <w:fldChar w:fldCharType="begin"/>
            </w:r>
            <w:r>
              <w:instrText>PAGEREF _Toc6420 \h</w:instrText>
            </w:r>
            <w:r>
              <w:fldChar w:fldCharType="separate"/>
            </w:r>
            <w:r>
              <w:t>5</w:t>
            </w:r>
            <w:r>
              <w:fldChar w:fldCharType="end"/>
            </w:r>
          </w:hyperlink>
        </w:p>
        <w:p w:rsidR="00EF72A4" w:rsidRDefault="00B32D51">
          <w:pPr>
            <w:pStyle w:val="TOC1"/>
            <w:tabs>
              <w:tab w:val="right" w:leader="dot" w:pos="7980"/>
            </w:tabs>
          </w:pPr>
          <w:hyperlink w:anchor="_Toc6421">
            <w:r>
              <w:t>Appendix B – Audit Methodology and Standards</w:t>
            </w:r>
            <w:r>
              <w:tab/>
            </w:r>
            <w:r>
              <w:fldChar w:fldCharType="begin"/>
            </w:r>
            <w:r>
              <w:instrText>PAGEREF _Toc6421 \h</w:instrText>
            </w:r>
            <w:r>
              <w:fldChar w:fldCharType="separate"/>
            </w:r>
            <w:r>
              <w:t>7</w:t>
            </w:r>
            <w:r>
              <w:fldChar w:fldCharType="end"/>
            </w:r>
          </w:hyperlink>
        </w:p>
        <w:p w:rsidR="00EF72A4" w:rsidRDefault="00B32D51">
          <w:pPr>
            <w:pStyle w:val="TOC1"/>
            <w:tabs>
              <w:tab w:val="right" w:leader="dot" w:pos="7980"/>
            </w:tabs>
          </w:pPr>
          <w:hyperlink w:anchor="_Toc6422">
            <w:r>
              <w:t>Appendix C – Resources and Services</w:t>
            </w:r>
            <w:r>
              <w:tab/>
            </w:r>
            <w:r>
              <w:fldChar w:fldCharType="begin"/>
            </w:r>
            <w:r>
              <w:instrText>PAGEREF _Toc6422 \h</w:instrText>
            </w:r>
            <w:r>
              <w:fldChar w:fldCharType="separate"/>
            </w:r>
            <w:r>
              <w:t>8</w:t>
            </w:r>
            <w:r>
              <w:fldChar w:fldCharType="end"/>
            </w:r>
          </w:hyperlink>
        </w:p>
        <w:p w:rsidR="00EF72A4" w:rsidRDefault="00B32D51">
          <w:r>
            <w:fldChar w:fldCharType="end"/>
          </w:r>
        </w:p>
      </w:sdtContent>
    </w:sdt>
    <w:p w:rsidR="00EF72A4" w:rsidRDefault="00EF72A4">
      <w:pPr>
        <w:sectPr w:rsidR="00EF72A4">
          <w:headerReference w:type="even" r:id="rId8"/>
          <w:headerReference w:type="default" r:id="rId9"/>
          <w:footerReference w:type="even" r:id="rId10"/>
          <w:footerReference w:type="default" r:id="rId11"/>
          <w:headerReference w:type="first" r:id="rId12"/>
          <w:footerReference w:type="first" r:id="rId13"/>
          <w:pgSz w:w="12240" w:h="15840"/>
          <w:pgMar w:top="1080" w:right="3180" w:bottom="7835" w:left="1080" w:header="720" w:footer="720" w:gutter="0"/>
          <w:cols w:space="720"/>
        </w:sectPr>
      </w:pPr>
    </w:p>
    <w:p w:rsidR="00EF72A4" w:rsidRDefault="00B32D51">
      <w:pPr>
        <w:pStyle w:val="Heading1"/>
        <w:ind w:left="0" w:firstLine="0"/>
      </w:pPr>
      <w:bookmarkStart w:id="1" w:name="_Toc6415"/>
      <w:r>
        <w:rPr>
          <w:sz w:val="48"/>
        </w:rPr>
        <w:lastRenderedPageBreak/>
        <w:t>Report Highlights</w:t>
      </w:r>
      <w:bookmarkEnd w:id="1"/>
    </w:p>
    <w:p w:rsidR="00EF72A4" w:rsidRDefault="00B32D51">
      <w:pPr>
        <w:pBdr>
          <w:top w:val="single" w:sz="16" w:space="0" w:color="558ED5"/>
        </w:pBdr>
        <w:shd w:val="clear" w:color="auto" w:fill="558ED5"/>
        <w:spacing w:after="513" w:line="259" w:lineRule="auto"/>
        <w:ind w:left="180" w:right="0" w:firstLine="0"/>
      </w:pPr>
      <w:r>
        <w:rPr>
          <w:b/>
          <w:color w:val="FFFEFD"/>
          <w:sz w:val="23"/>
        </w:rPr>
        <w:t>Town of Moriah</w:t>
      </w:r>
    </w:p>
    <w:tbl>
      <w:tblPr>
        <w:tblStyle w:val="TableGrid"/>
        <w:tblpPr w:vertAnchor="text" w:tblpX="5746" w:tblpY="12"/>
        <w:tblOverlap w:val="never"/>
        <w:tblW w:w="4334" w:type="dxa"/>
        <w:tblInd w:w="0" w:type="dxa"/>
        <w:tblCellMar>
          <w:top w:w="280" w:type="dxa"/>
          <w:left w:w="280" w:type="dxa"/>
          <w:bottom w:w="0" w:type="dxa"/>
          <w:right w:w="115" w:type="dxa"/>
        </w:tblCellMar>
        <w:tblLook w:val="04A0" w:firstRow="1" w:lastRow="0" w:firstColumn="1" w:lastColumn="0" w:noHBand="0" w:noVBand="1"/>
      </w:tblPr>
      <w:tblGrid>
        <w:gridCol w:w="4334"/>
      </w:tblGrid>
      <w:tr w:rsidR="00EF72A4">
        <w:trPr>
          <w:trHeight w:val="10314"/>
        </w:trPr>
        <w:tc>
          <w:tcPr>
            <w:tcW w:w="4334" w:type="dxa"/>
            <w:tcBorders>
              <w:top w:val="nil"/>
              <w:left w:val="nil"/>
              <w:bottom w:val="nil"/>
              <w:right w:val="nil"/>
            </w:tcBorders>
            <w:shd w:val="clear" w:color="auto" w:fill="C6D9F1"/>
          </w:tcPr>
          <w:p w:rsidR="00EF72A4" w:rsidRDefault="00B32D51">
            <w:pPr>
              <w:spacing w:after="87" w:line="259" w:lineRule="auto"/>
              <w:ind w:left="0" w:right="0" w:firstLine="0"/>
            </w:pPr>
            <w:r>
              <w:rPr>
                <w:b/>
                <w:color w:val="1F497D"/>
                <w:sz w:val="30"/>
              </w:rPr>
              <w:t>Background</w:t>
            </w:r>
          </w:p>
          <w:p w:rsidR="00EF72A4" w:rsidRDefault="00B32D51">
            <w:pPr>
              <w:spacing w:after="180" w:line="266" w:lineRule="auto"/>
              <w:ind w:left="0" w:right="67" w:firstLine="0"/>
            </w:pPr>
            <w:r>
              <w:t xml:space="preserve">The Town of Moriah (Town) is located in Essex County. </w:t>
            </w:r>
          </w:p>
          <w:p w:rsidR="00EF72A4" w:rsidRDefault="00B32D51">
            <w:pPr>
              <w:spacing w:after="7" w:line="259" w:lineRule="auto"/>
              <w:ind w:left="0" w:right="0" w:firstLine="0"/>
            </w:pPr>
            <w:r>
              <w:t xml:space="preserve">An elected five-member Town Board </w:t>
            </w:r>
          </w:p>
          <w:p w:rsidR="00EF72A4" w:rsidRDefault="00B32D51">
            <w:pPr>
              <w:spacing w:after="180" w:line="266" w:lineRule="auto"/>
              <w:ind w:left="0" w:right="186" w:firstLine="0"/>
            </w:pPr>
            <w:r>
              <w:t>(Board), which is composed of the Town Supervisor (Supervisor) and four Board members, is responsible for the general over</w:t>
            </w:r>
            <w:r>
              <w:t xml:space="preserve">sight of the Town’s operations and finances. </w:t>
            </w:r>
          </w:p>
          <w:p w:rsidR="00EF72A4" w:rsidRDefault="00B32D51">
            <w:pPr>
              <w:spacing w:after="0" w:line="259" w:lineRule="auto"/>
              <w:ind w:left="0" w:right="63" w:firstLine="0"/>
            </w:pPr>
            <w:r>
              <w:t>Eligible employees at the Town Hall, Justice Court, police department, highway department, water and sewer department, wastewater treatment plant and transfer station accrue leave time (i.e., vacation, sick, pe</w:t>
            </w:r>
            <w:r>
              <w:t xml:space="preserve">rsonal and compensatory leave) in accordance with the Town’s employee policy manual and collective bargaining agreement. </w:t>
            </w:r>
          </w:p>
          <w:tbl>
            <w:tblPr>
              <w:tblStyle w:val="TableGrid"/>
              <w:tblW w:w="3254" w:type="dxa"/>
              <w:tblInd w:w="123" w:type="dxa"/>
              <w:tblCellMar>
                <w:top w:w="107" w:type="dxa"/>
                <w:left w:w="0" w:type="dxa"/>
                <w:bottom w:w="0" w:type="dxa"/>
                <w:right w:w="80" w:type="dxa"/>
              </w:tblCellMar>
              <w:tblLook w:val="04A0" w:firstRow="1" w:lastRow="0" w:firstColumn="1" w:lastColumn="0" w:noHBand="0" w:noVBand="1"/>
            </w:tblPr>
            <w:tblGrid>
              <w:gridCol w:w="2365"/>
              <w:gridCol w:w="889"/>
            </w:tblGrid>
            <w:tr w:rsidR="00EF72A4">
              <w:trPr>
                <w:trHeight w:val="360"/>
              </w:trPr>
              <w:tc>
                <w:tcPr>
                  <w:tcW w:w="2365" w:type="dxa"/>
                  <w:tcBorders>
                    <w:top w:val="nil"/>
                    <w:left w:val="nil"/>
                    <w:bottom w:val="nil"/>
                    <w:right w:val="nil"/>
                  </w:tcBorders>
                  <w:shd w:val="clear" w:color="auto" w:fill="558ED5"/>
                </w:tcPr>
                <w:p w:rsidR="00EF72A4" w:rsidRDefault="00B32D51">
                  <w:pPr>
                    <w:framePr w:wrap="around" w:vAnchor="text" w:hAnchor="text" w:x="5746" w:y="12"/>
                    <w:spacing w:after="0" w:line="259" w:lineRule="auto"/>
                    <w:ind w:left="80" w:right="0" w:firstLine="0"/>
                    <w:suppressOverlap/>
                  </w:pPr>
                  <w:r>
                    <w:rPr>
                      <w:b/>
                      <w:color w:val="FFFEFD"/>
                      <w:sz w:val="20"/>
                    </w:rPr>
                    <w:t>Quick Facts</w:t>
                  </w:r>
                </w:p>
              </w:tc>
              <w:tc>
                <w:tcPr>
                  <w:tcW w:w="889" w:type="dxa"/>
                  <w:tcBorders>
                    <w:top w:val="nil"/>
                    <w:left w:val="nil"/>
                    <w:bottom w:val="nil"/>
                    <w:right w:val="nil"/>
                  </w:tcBorders>
                  <w:shd w:val="clear" w:color="auto" w:fill="558ED5"/>
                </w:tcPr>
                <w:p w:rsidR="00EF72A4" w:rsidRDefault="00EF72A4">
                  <w:pPr>
                    <w:framePr w:wrap="around" w:vAnchor="text" w:hAnchor="text" w:x="5746" w:y="12"/>
                    <w:spacing w:after="160" w:line="259" w:lineRule="auto"/>
                    <w:ind w:left="0" w:right="0" w:firstLine="0"/>
                    <w:suppressOverlap/>
                  </w:pPr>
                </w:p>
              </w:tc>
            </w:tr>
            <w:tr w:rsidR="00EF72A4">
              <w:trPr>
                <w:trHeight w:val="433"/>
              </w:trPr>
              <w:tc>
                <w:tcPr>
                  <w:tcW w:w="2365" w:type="dxa"/>
                  <w:tcBorders>
                    <w:top w:val="nil"/>
                    <w:left w:val="nil"/>
                    <w:bottom w:val="single" w:sz="8" w:space="0" w:color="558ED5"/>
                    <w:right w:val="nil"/>
                  </w:tcBorders>
                  <w:vAlign w:val="center"/>
                </w:tcPr>
                <w:p w:rsidR="00EF72A4" w:rsidRDefault="00B32D51">
                  <w:pPr>
                    <w:framePr w:wrap="around" w:vAnchor="text" w:hAnchor="text" w:x="5746" w:y="12"/>
                    <w:spacing w:after="0" w:line="259" w:lineRule="auto"/>
                    <w:ind w:left="80" w:right="0" w:firstLine="0"/>
                    <w:suppressOverlap/>
                  </w:pPr>
                  <w:r>
                    <w:rPr>
                      <w:b/>
                      <w:sz w:val="16"/>
                    </w:rPr>
                    <w:t>Population</w:t>
                  </w:r>
                </w:p>
              </w:tc>
              <w:tc>
                <w:tcPr>
                  <w:tcW w:w="889" w:type="dxa"/>
                  <w:tcBorders>
                    <w:top w:val="nil"/>
                    <w:left w:val="nil"/>
                    <w:bottom w:val="single" w:sz="8" w:space="0" w:color="558ED5"/>
                    <w:right w:val="nil"/>
                  </w:tcBorders>
                  <w:vAlign w:val="center"/>
                </w:tcPr>
                <w:p w:rsidR="00EF72A4" w:rsidRDefault="00B32D51">
                  <w:pPr>
                    <w:framePr w:wrap="around" w:vAnchor="text" w:hAnchor="text" w:x="5746" w:y="12"/>
                    <w:spacing w:after="0" w:line="259" w:lineRule="auto"/>
                    <w:ind w:left="0" w:right="0" w:firstLine="0"/>
                    <w:suppressOverlap/>
                    <w:jc w:val="right"/>
                  </w:pPr>
                  <w:r>
                    <w:rPr>
                      <w:sz w:val="16"/>
                    </w:rPr>
                    <w:t>4,800</w:t>
                  </w:r>
                </w:p>
              </w:tc>
            </w:tr>
            <w:tr w:rsidR="00EF72A4">
              <w:trPr>
                <w:trHeight w:val="592"/>
              </w:trPr>
              <w:tc>
                <w:tcPr>
                  <w:tcW w:w="2365" w:type="dxa"/>
                  <w:tcBorders>
                    <w:top w:val="single" w:sz="8" w:space="0" w:color="558ED5"/>
                    <w:left w:val="nil"/>
                    <w:bottom w:val="single" w:sz="8" w:space="0" w:color="558ED5"/>
                    <w:right w:val="nil"/>
                  </w:tcBorders>
                  <w:vAlign w:val="center"/>
                </w:tcPr>
                <w:p w:rsidR="00EF72A4" w:rsidRDefault="00B32D51">
                  <w:pPr>
                    <w:framePr w:wrap="around" w:vAnchor="text" w:hAnchor="text" w:x="5746" w:y="12"/>
                    <w:spacing w:after="1" w:line="259" w:lineRule="auto"/>
                    <w:ind w:left="80" w:right="0" w:firstLine="0"/>
                    <w:suppressOverlap/>
                  </w:pPr>
                  <w:r>
                    <w:rPr>
                      <w:b/>
                      <w:sz w:val="16"/>
                    </w:rPr>
                    <w:t xml:space="preserve">2019 Adopted </w:t>
                  </w:r>
                </w:p>
                <w:p w:rsidR="00EF72A4" w:rsidRDefault="00B32D51">
                  <w:pPr>
                    <w:framePr w:wrap="around" w:vAnchor="text" w:hAnchor="text" w:x="5746" w:y="12"/>
                    <w:spacing w:after="0" w:line="259" w:lineRule="auto"/>
                    <w:ind w:left="80" w:right="0" w:firstLine="0"/>
                    <w:suppressOverlap/>
                  </w:pPr>
                  <w:r>
                    <w:rPr>
                      <w:b/>
                      <w:sz w:val="16"/>
                    </w:rPr>
                    <w:t>Appropriations</w:t>
                  </w:r>
                </w:p>
              </w:tc>
              <w:tc>
                <w:tcPr>
                  <w:tcW w:w="889" w:type="dxa"/>
                  <w:tcBorders>
                    <w:top w:val="single" w:sz="8" w:space="0" w:color="558ED5"/>
                    <w:left w:val="nil"/>
                    <w:bottom w:val="single" w:sz="8" w:space="0" w:color="558ED5"/>
                    <w:right w:val="nil"/>
                  </w:tcBorders>
                  <w:vAlign w:val="center"/>
                </w:tcPr>
                <w:p w:rsidR="00EF72A4" w:rsidRDefault="00B32D51">
                  <w:pPr>
                    <w:framePr w:wrap="around" w:vAnchor="text" w:hAnchor="text" w:x="5746" w:y="12"/>
                    <w:spacing w:after="0" w:line="259" w:lineRule="auto"/>
                    <w:ind w:left="0" w:right="0" w:firstLine="0"/>
                    <w:suppressOverlap/>
                  </w:pPr>
                  <w:r>
                    <w:rPr>
                      <w:sz w:val="16"/>
                    </w:rPr>
                    <w:t>$5.2 million</w:t>
                  </w:r>
                </w:p>
              </w:tc>
            </w:tr>
            <w:tr w:rsidR="00EF72A4">
              <w:trPr>
                <w:trHeight w:val="739"/>
              </w:trPr>
              <w:tc>
                <w:tcPr>
                  <w:tcW w:w="2365" w:type="dxa"/>
                  <w:tcBorders>
                    <w:top w:val="single" w:sz="8" w:space="0" w:color="558ED5"/>
                    <w:left w:val="nil"/>
                    <w:bottom w:val="single" w:sz="8" w:space="0" w:color="558ED5"/>
                    <w:right w:val="nil"/>
                  </w:tcBorders>
                </w:tcPr>
                <w:p w:rsidR="00EF72A4" w:rsidRDefault="00B32D51">
                  <w:pPr>
                    <w:framePr w:wrap="around" w:vAnchor="text" w:hAnchor="text" w:x="5746" w:y="12"/>
                    <w:spacing w:after="0" w:line="259" w:lineRule="auto"/>
                    <w:ind w:left="80" w:right="193" w:firstLine="0"/>
                    <w:suppressOverlap/>
                  </w:pPr>
                  <w:r>
                    <w:rPr>
                      <w:b/>
                      <w:sz w:val="16"/>
                    </w:rPr>
                    <w:t>Employees Eligible for Leave Accruals During the Audit Period</w:t>
                  </w:r>
                </w:p>
              </w:tc>
              <w:tc>
                <w:tcPr>
                  <w:tcW w:w="889" w:type="dxa"/>
                  <w:tcBorders>
                    <w:top w:val="single" w:sz="8" w:space="0" w:color="558ED5"/>
                    <w:left w:val="nil"/>
                    <w:bottom w:val="single" w:sz="8" w:space="0" w:color="558ED5"/>
                    <w:right w:val="nil"/>
                  </w:tcBorders>
                  <w:vAlign w:val="center"/>
                </w:tcPr>
                <w:p w:rsidR="00EF72A4" w:rsidRDefault="00B32D51">
                  <w:pPr>
                    <w:framePr w:wrap="around" w:vAnchor="text" w:hAnchor="text" w:x="5746" w:y="12"/>
                    <w:spacing w:after="0" w:line="259" w:lineRule="auto"/>
                    <w:ind w:left="0" w:right="0" w:firstLine="0"/>
                    <w:suppressOverlap/>
                    <w:jc w:val="right"/>
                  </w:pPr>
                  <w:r>
                    <w:rPr>
                      <w:sz w:val="16"/>
                    </w:rPr>
                    <w:t>30</w:t>
                  </w:r>
                </w:p>
              </w:tc>
            </w:tr>
          </w:tbl>
          <w:p w:rsidR="00EF72A4" w:rsidRDefault="00B32D51">
            <w:pPr>
              <w:spacing w:after="87" w:line="259" w:lineRule="auto"/>
              <w:ind w:left="0" w:right="0" w:firstLine="0"/>
            </w:pPr>
            <w:r>
              <w:rPr>
                <w:b/>
                <w:color w:val="1F497D"/>
                <w:sz w:val="30"/>
              </w:rPr>
              <w:t>Audit Period</w:t>
            </w:r>
          </w:p>
          <w:p w:rsidR="00EF72A4" w:rsidRDefault="00B32D51">
            <w:pPr>
              <w:spacing w:after="0" w:line="259" w:lineRule="auto"/>
              <w:ind w:left="0" w:right="0" w:firstLine="0"/>
            </w:pPr>
            <w:r>
              <w:t>January 1, 2018 – May 31, 2019</w:t>
            </w:r>
          </w:p>
        </w:tc>
      </w:tr>
    </w:tbl>
    <w:p w:rsidR="00EF72A4" w:rsidRDefault="00B32D51">
      <w:pPr>
        <w:spacing w:after="87" w:line="259" w:lineRule="auto"/>
        <w:ind w:left="-5" w:right="0"/>
      </w:pPr>
      <w:r>
        <w:rPr>
          <w:b/>
          <w:color w:val="1F497D"/>
          <w:sz w:val="30"/>
        </w:rPr>
        <w:t>Audit Objective</w:t>
      </w:r>
    </w:p>
    <w:p w:rsidR="00EF72A4" w:rsidRDefault="00B32D51">
      <w:pPr>
        <w:spacing w:after="395"/>
        <w:ind w:left="-3" w:right="0"/>
      </w:pPr>
      <w:r>
        <w:t>Determine whether Town officials accurately maintained employees’ leave accrual records.</w:t>
      </w:r>
    </w:p>
    <w:p w:rsidR="00EF72A4" w:rsidRDefault="00B32D51">
      <w:pPr>
        <w:spacing w:after="29" w:line="259" w:lineRule="auto"/>
        <w:ind w:left="-5" w:right="0"/>
      </w:pPr>
      <w:r>
        <w:rPr>
          <w:b/>
          <w:color w:val="1F497D"/>
          <w:sz w:val="30"/>
        </w:rPr>
        <w:t>Key Findings</w:t>
      </w:r>
    </w:p>
    <w:p w:rsidR="00EF72A4" w:rsidRDefault="00B32D51">
      <w:pPr>
        <w:numPr>
          <w:ilvl w:val="0"/>
          <w:numId w:val="1"/>
        </w:numPr>
        <w:spacing w:after="19"/>
        <w:ind w:right="0"/>
      </w:pPr>
      <w:r>
        <w:t xml:space="preserve">The Town lacked adequate procedures to ensure employees’ leave accrual records were accurately maintained. </w:t>
      </w:r>
      <w:r>
        <w:rPr>
          <w:rFonts w:ascii="Wingdings" w:eastAsia="Wingdings" w:hAnsi="Wingdings" w:cs="Wingdings"/>
          <w:color w:val="F79646"/>
          <w:sz w:val="17"/>
        </w:rPr>
        <w:t></w:t>
      </w:r>
      <w:r>
        <w:rPr>
          <w:color w:val="F79646"/>
          <w:sz w:val="17"/>
        </w:rPr>
        <w:t xml:space="preserve"> </w:t>
      </w:r>
      <w:r>
        <w:t>We reviewed 15 employees’ leave accrual records during the audit period and found that none were accurately maintained. As a result, six employees were paid for 110.5 hours of leave time to which they were not entitled, resulting in overpayments totaling $</w:t>
      </w:r>
      <w:r>
        <w:t xml:space="preserve">2,288. </w:t>
      </w:r>
      <w:r>
        <w:rPr>
          <w:rFonts w:ascii="Wingdings" w:eastAsia="Wingdings" w:hAnsi="Wingdings" w:cs="Wingdings"/>
          <w:color w:val="F79646"/>
          <w:sz w:val="17"/>
        </w:rPr>
        <w:t></w:t>
      </w:r>
      <w:r>
        <w:rPr>
          <w:color w:val="F79646"/>
          <w:sz w:val="17"/>
        </w:rPr>
        <w:t xml:space="preserve"> </w:t>
      </w:r>
      <w:r>
        <w:t xml:space="preserve">We found that, as of May 31, 2019, the 15 </w:t>
      </w:r>
    </w:p>
    <w:p w:rsidR="00EF72A4" w:rsidRDefault="00B32D51">
      <w:pPr>
        <w:spacing w:after="395"/>
        <w:ind w:left="490" w:right="0"/>
      </w:pPr>
      <w:r>
        <w:t>employees’ leave accrual balances were overstated by 701.75 hours, valued at $15,253 and understated by 86.5 hours, valued at $1,484.</w:t>
      </w:r>
    </w:p>
    <w:p w:rsidR="00EF72A4" w:rsidRDefault="00B32D51">
      <w:pPr>
        <w:spacing w:after="29" w:line="259" w:lineRule="auto"/>
        <w:ind w:left="-5" w:right="0"/>
      </w:pPr>
      <w:r>
        <w:rPr>
          <w:b/>
          <w:color w:val="1F497D"/>
          <w:sz w:val="30"/>
        </w:rPr>
        <w:t>Key Recommendations</w:t>
      </w:r>
    </w:p>
    <w:p w:rsidR="00EF72A4" w:rsidRDefault="00B32D51">
      <w:pPr>
        <w:numPr>
          <w:ilvl w:val="0"/>
          <w:numId w:val="1"/>
        </w:numPr>
        <w:spacing w:after="37"/>
        <w:ind w:right="0"/>
      </w:pPr>
      <w:r>
        <w:t xml:space="preserve">Implement procedures to ensure employees’ leave accrual records are accurately maintained. </w:t>
      </w:r>
      <w:r>
        <w:rPr>
          <w:rFonts w:ascii="Wingdings" w:eastAsia="Wingdings" w:hAnsi="Wingdings" w:cs="Wingdings"/>
          <w:color w:val="F79646"/>
          <w:sz w:val="17"/>
        </w:rPr>
        <w:t></w:t>
      </w:r>
      <w:r>
        <w:rPr>
          <w:color w:val="F79646"/>
          <w:sz w:val="17"/>
        </w:rPr>
        <w:t xml:space="preserve"> </w:t>
      </w:r>
      <w:r>
        <w:t xml:space="preserve">Direct the Town’s legal counsel to review the identified overpayments and take appropriate action to recover those funds. </w:t>
      </w:r>
      <w:r>
        <w:rPr>
          <w:rFonts w:ascii="Wingdings" w:eastAsia="Wingdings" w:hAnsi="Wingdings" w:cs="Wingdings"/>
          <w:color w:val="F79646"/>
          <w:sz w:val="17"/>
        </w:rPr>
        <w:t></w:t>
      </w:r>
      <w:r>
        <w:rPr>
          <w:color w:val="F79646"/>
          <w:sz w:val="17"/>
        </w:rPr>
        <w:t xml:space="preserve"> </w:t>
      </w:r>
      <w:r>
        <w:t xml:space="preserve">Ensure the errors in the leave accrual </w:t>
      </w:r>
      <w:r>
        <w:t xml:space="preserve">records, as </w:t>
      </w:r>
    </w:p>
    <w:p w:rsidR="00EF72A4" w:rsidRDefault="00B32D51">
      <w:pPr>
        <w:ind w:left="490" w:right="0"/>
      </w:pPr>
      <w:r>
        <w:t>identified in this report, are corrected.</w:t>
      </w:r>
    </w:p>
    <w:p w:rsidR="00EF72A4" w:rsidRDefault="00B32D51">
      <w:pPr>
        <w:ind w:left="-3" w:right="0"/>
      </w:pPr>
      <w:r>
        <w:t xml:space="preserve">Town officials generally agreed with our recommendations and have initiated, or indicated they planned to initiate corrective action.   </w:t>
      </w:r>
    </w:p>
    <w:p w:rsidR="00EF72A4" w:rsidRDefault="00B32D51">
      <w:pPr>
        <w:pStyle w:val="Heading1"/>
        <w:spacing w:after="293"/>
        <w:ind w:left="0"/>
      </w:pPr>
      <w:bookmarkStart w:id="2" w:name="_Toc6416"/>
      <w:r>
        <w:t>Leave Accruals</w:t>
      </w:r>
      <w:bookmarkEnd w:id="2"/>
    </w:p>
    <w:p w:rsidR="00EF72A4" w:rsidRDefault="00B32D51">
      <w:pPr>
        <w:ind w:left="-3" w:right="0"/>
      </w:pPr>
      <w:r>
        <w:t xml:space="preserve">The Town’s employee policy manual and collective </w:t>
      </w:r>
      <w:r>
        <w:t>bargaining agreement (CBA) stipulate the terms and conditions of employment and leave time to which eligible employees are entitled. In addition, the Town’s employee policy manual and CBA include provisions for employees to receive a payment and retirement</w:t>
      </w:r>
      <w:r>
        <w:t xml:space="preserve"> service credit for unused leave when they retire or resign from Town employment.</w:t>
      </w:r>
    </w:p>
    <w:p w:rsidR="00EF72A4" w:rsidRDefault="00B32D51">
      <w:pPr>
        <w:spacing w:after="383"/>
        <w:ind w:left="-3" w:right="0"/>
      </w:pPr>
      <w:r>
        <w:lastRenderedPageBreak/>
        <w:t>Employees who retire or resign are eligible to be paid for their accrued unused vacation and compensatory leave time. In addition, as of January 1, 2019, employees who retire</w:t>
      </w:r>
      <w:r>
        <w:t xml:space="preserve"> are eligible to receive retirement service credit for up to 165 days of unused sick leave.</w:t>
      </w:r>
      <w:r>
        <w:rPr>
          <w:sz w:val="20"/>
          <w:vertAlign w:val="superscript"/>
        </w:rPr>
        <w:footnoteReference w:id="1"/>
      </w:r>
      <w:r>
        <w:t xml:space="preserve">  </w:t>
      </w:r>
    </w:p>
    <w:p w:rsidR="00EF72A4" w:rsidRDefault="00B32D51">
      <w:pPr>
        <w:pStyle w:val="Heading2"/>
        <w:spacing w:after="180" w:line="243" w:lineRule="auto"/>
        <w:ind w:left="-5"/>
      </w:pPr>
      <w:bookmarkStart w:id="3" w:name="_Toc6417"/>
      <w:r>
        <w:t xml:space="preserve">How Do Officials Accurately Maintain Employees’ Leave Accrual </w:t>
      </w:r>
      <w:r>
        <w:t>Records?</w:t>
      </w:r>
      <w:bookmarkEnd w:id="3"/>
    </w:p>
    <w:p w:rsidR="00EF72A4" w:rsidRDefault="00B32D51">
      <w:pPr>
        <w:spacing w:after="355"/>
        <w:ind w:left="-3" w:right="148"/>
      </w:pPr>
      <w:r>
        <w:t>A well-designed system of accounting for employee leave time requires town officials to pe</w:t>
      </w:r>
      <w:r>
        <w:t>riodically verify the accuracy of employee leave records with regard to leave time earned and used. Town officials should establish procedures for periodic independent reviews of leave accrual records and balances. Town officials should also ensure town pe</w:t>
      </w:r>
      <w:r>
        <w:t xml:space="preserve">rsonnel properly calculate and deduct leave time used from employee leave accrual balances and leave is both earned and carried over from one fiscal year to the next in accordance with the Town’s employee policy manual and CBA. </w:t>
      </w:r>
    </w:p>
    <w:p w:rsidR="00EF72A4" w:rsidRDefault="00B32D51">
      <w:pPr>
        <w:pStyle w:val="Heading2"/>
        <w:ind w:left="-5"/>
      </w:pPr>
      <w:bookmarkStart w:id="4" w:name="_Toc6418"/>
      <w:r>
        <w:t xml:space="preserve">Leave Accrual Records Were </w:t>
      </w:r>
      <w:r>
        <w:t>Not Accurately Maintained</w:t>
      </w:r>
      <w:bookmarkEnd w:id="4"/>
    </w:p>
    <w:p w:rsidR="00EF72A4" w:rsidRDefault="00B32D51">
      <w:pPr>
        <w:spacing w:after="8"/>
        <w:ind w:left="-3" w:right="0"/>
      </w:pPr>
      <w:r>
        <w:t>Town officials did not accurately maintain employees’ leave accrual records. We reviewed 15 employees’ leave accrual records during the audit period to determine whether the leave time they recorded on their time records was prope</w:t>
      </w:r>
      <w:r>
        <w:t xml:space="preserve">rly deducted from their leave accrual balances. We also determined whether the amounts of leave credited and carried forward during 2018 and 2019 agreed with the Town’s employee policy manual or CBA. We found errors in the leave accrual records for all 15 </w:t>
      </w:r>
      <w:r>
        <w:t xml:space="preserve">employees, which included, but were not limited to, the following: </w:t>
      </w:r>
      <w:r>
        <w:rPr>
          <w:rFonts w:ascii="Wingdings" w:eastAsia="Wingdings" w:hAnsi="Wingdings" w:cs="Wingdings"/>
          <w:color w:val="F79646"/>
          <w:sz w:val="17"/>
        </w:rPr>
        <w:t></w:t>
      </w:r>
      <w:r>
        <w:rPr>
          <w:color w:val="F79646"/>
          <w:sz w:val="17"/>
        </w:rPr>
        <w:t xml:space="preserve"> </w:t>
      </w:r>
      <w:r>
        <w:t xml:space="preserve">The time records indicated 12 employees used a combined total of 427.5 </w:t>
      </w:r>
    </w:p>
    <w:p w:rsidR="00EF72A4" w:rsidRDefault="00B32D51">
      <w:pPr>
        <w:ind w:left="240" w:right="355" w:firstLine="240"/>
      </w:pPr>
      <w:r>
        <w:t xml:space="preserve">hours of leave that was not deducted from their leave accrual balances. </w:t>
      </w:r>
      <w:r>
        <w:rPr>
          <w:rFonts w:ascii="Wingdings" w:eastAsia="Wingdings" w:hAnsi="Wingdings" w:cs="Wingdings"/>
          <w:color w:val="F79646"/>
          <w:sz w:val="17"/>
        </w:rPr>
        <w:t></w:t>
      </w:r>
      <w:r>
        <w:rPr>
          <w:color w:val="F79646"/>
          <w:sz w:val="17"/>
        </w:rPr>
        <w:t xml:space="preserve"> </w:t>
      </w:r>
      <w:r>
        <w:t>Nine employees had a combined total of 51</w:t>
      </w:r>
      <w:r>
        <w:t xml:space="preserve"> hours of leave deducted from their leave accrual balances when the time records indicated these employees were at work.</w:t>
      </w:r>
    </w:p>
    <w:p w:rsidR="00EF72A4" w:rsidRDefault="00B32D51">
      <w:pPr>
        <w:spacing w:after="0"/>
        <w:ind w:left="250" w:right="0"/>
      </w:pPr>
      <w:r>
        <w:rPr>
          <w:rFonts w:ascii="Wingdings" w:eastAsia="Wingdings" w:hAnsi="Wingdings" w:cs="Wingdings"/>
          <w:color w:val="F79646"/>
          <w:sz w:val="17"/>
        </w:rPr>
        <w:t></w:t>
      </w:r>
      <w:r>
        <w:rPr>
          <w:color w:val="F79646"/>
          <w:sz w:val="17"/>
        </w:rPr>
        <w:t xml:space="preserve"> </w:t>
      </w:r>
      <w:r>
        <w:t xml:space="preserve">Nine employees were improperly credited with a combined total of 487.5 </w:t>
      </w:r>
    </w:p>
    <w:p w:rsidR="00EF72A4" w:rsidRDefault="00B32D51">
      <w:pPr>
        <w:spacing w:after="21"/>
        <w:ind w:left="240" w:right="152" w:firstLine="240"/>
      </w:pPr>
      <w:r>
        <w:t xml:space="preserve">hours of leave to which they were not entitled. For example, an employee credited their sick leave balance with 77 hours of sick leave in March 2018, instead of the seven hours of sick leave to which they were entitled for the month. </w:t>
      </w:r>
      <w:r>
        <w:rPr>
          <w:rFonts w:ascii="Wingdings" w:eastAsia="Wingdings" w:hAnsi="Wingdings" w:cs="Wingdings"/>
          <w:color w:val="F79646"/>
          <w:sz w:val="17"/>
        </w:rPr>
        <w:t></w:t>
      </w:r>
      <w:r>
        <w:rPr>
          <w:color w:val="F79646"/>
          <w:sz w:val="17"/>
        </w:rPr>
        <w:t xml:space="preserve"> </w:t>
      </w:r>
      <w:r>
        <w:t>Eight employees were</w:t>
      </w:r>
      <w:r>
        <w:t xml:space="preserve"> not credited with a combined total of 255.25 hours of </w:t>
      </w:r>
    </w:p>
    <w:p w:rsidR="00EF72A4" w:rsidRDefault="00B32D51">
      <w:pPr>
        <w:ind w:left="240" w:right="79" w:firstLine="240"/>
      </w:pPr>
      <w:r>
        <w:t xml:space="preserve">leave to which they were entitled. For example, an employee was credited with 160 hours of vacation leave in 2019, instead of the 176 hours of vacation leave to which they were entitled. </w:t>
      </w:r>
      <w:r>
        <w:rPr>
          <w:rFonts w:ascii="Wingdings" w:eastAsia="Wingdings" w:hAnsi="Wingdings" w:cs="Wingdings"/>
          <w:color w:val="F79646"/>
          <w:sz w:val="17"/>
        </w:rPr>
        <w:t></w:t>
      </w:r>
      <w:r>
        <w:rPr>
          <w:color w:val="F79646"/>
          <w:sz w:val="17"/>
        </w:rPr>
        <w:t xml:space="preserve"> </w:t>
      </w:r>
      <w:r>
        <w:t>Two employe</w:t>
      </w:r>
      <w:r>
        <w:t xml:space="preserve">es improperly carried over a combined total of 116.50 hours of unused leave from 2018 to 2019 to which they were not entitled. For example, one employee carried over 1,098 hours of </w:t>
      </w:r>
      <w:r>
        <w:lastRenderedPageBreak/>
        <w:t>unused sick leave from 2018 to 2019, although the Town’s employee policy ma</w:t>
      </w:r>
      <w:r>
        <w:t>nual contained a provision authorizing the carryover of only 1,000 hours of unused sick leave.</w:t>
      </w:r>
    </w:p>
    <w:p w:rsidR="00EF72A4" w:rsidRDefault="00B32D51">
      <w:pPr>
        <w:spacing w:after="202"/>
        <w:ind w:left="-3" w:right="0"/>
      </w:pPr>
      <w:r>
        <w:t>The cumulative effect of these errors was six employees were paid for 110.5 hours of leave time to which they were not entitled, resulting in overpayments totali</w:t>
      </w:r>
      <w:r>
        <w:t>ng $2,288. In addition, as of May 31, 2019, the 15 employees’ leave accrual balances were overstated by 701.75 hours,</w:t>
      </w:r>
      <w:r>
        <w:rPr>
          <w:sz w:val="20"/>
          <w:vertAlign w:val="superscript"/>
        </w:rPr>
        <w:footnoteReference w:id="2"/>
      </w:r>
      <w:r>
        <w:t xml:space="preserve"> valued at $15,253 and understated by 86.5 hours,</w:t>
      </w:r>
      <w:r>
        <w:rPr>
          <w:sz w:val="20"/>
          <w:vertAlign w:val="superscript"/>
        </w:rPr>
        <w:footnoteReference w:id="3"/>
      </w:r>
      <w:r>
        <w:t xml:space="preserve"> valued at $1,484. </w:t>
      </w:r>
    </w:p>
    <w:p w:rsidR="00EF72A4" w:rsidRDefault="00B32D51">
      <w:pPr>
        <w:ind w:left="-3" w:right="0"/>
      </w:pPr>
      <w:r>
        <w:t>The errors we identified occurred because officials did not establis</w:t>
      </w:r>
      <w:r>
        <w:t xml:space="preserve">h adequate procedures to ensure employees’ leave accrual records were accurately maintained. For example, the Supervisor’s office did not maintain leave accrual records for employees as directed by the Town’s employee policy manual. Instead, leave accrual </w:t>
      </w:r>
      <w:r>
        <w:t>record maintenance was decentralized and maintained by either individual employees or department heads. Consequently, we found that multiple employees were responsible for manually accounting for employees’ leave accrual records and/or their own records wi</w:t>
      </w:r>
      <w:r>
        <w:t>th limited to no oversight. In addition, officials did not perform independent periodic reviews of employee leave accrual balances to ensure their accuracy.</w:t>
      </w:r>
    </w:p>
    <w:p w:rsidR="00EF72A4" w:rsidRDefault="00B32D51">
      <w:pPr>
        <w:ind w:left="-3" w:right="61"/>
      </w:pPr>
      <w:r>
        <w:t>Without accurate leave records, officials cannot properly determine the amount of payments or retirement service credit due to employees when they retire or resign from their positions or ensure employees are compensated for the correct amounts to which th</w:t>
      </w:r>
      <w:r>
        <w:t xml:space="preserve">ey are contractually entitled. </w:t>
      </w:r>
    </w:p>
    <w:p w:rsidR="00EF72A4" w:rsidRDefault="00B32D51">
      <w:pPr>
        <w:pStyle w:val="Heading2"/>
        <w:ind w:left="-5"/>
      </w:pPr>
      <w:bookmarkStart w:id="5" w:name="_Toc6419"/>
      <w:r>
        <w:t xml:space="preserve">What Do We Recommend? </w:t>
      </w:r>
      <w:bookmarkEnd w:id="5"/>
    </w:p>
    <w:p w:rsidR="00EF72A4" w:rsidRDefault="00B32D51">
      <w:pPr>
        <w:ind w:left="-3" w:right="0"/>
      </w:pPr>
      <w:r>
        <w:t>The Supervisor should:</w:t>
      </w:r>
    </w:p>
    <w:p w:rsidR="00EF72A4" w:rsidRDefault="00B32D51">
      <w:pPr>
        <w:numPr>
          <w:ilvl w:val="0"/>
          <w:numId w:val="2"/>
        </w:numPr>
        <w:ind w:right="0" w:hanging="360"/>
      </w:pPr>
      <w:r>
        <w:t>Ensure leave accrual records are maintained by his office for all employees that earn and use leave time in accordance with the Town’s employee policy manual.</w:t>
      </w:r>
    </w:p>
    <w:p w:rsidR="00EF72A4" w:rsidRDefault="00B32D51">
      <w:pPr>
        <w:ind w:left="-3" w:right="0"/>
      </w:pPr>
      <w:r>
        <w:t>The Board should:</w:t>
      </w:r>
    </w:p>
    <w:p w:rsidR="00EF72A4" w:rsidRDefault="00B32D51">
      <w:pPr>
        <w:numPr>
          <w:ilvl w:val="0"/>
          <w:numId w:val="2"/>
        </w:numPr>
        <w:ind w:right="0" w:hanging="360"/>
      </w:pPr>
      <w:r>
        <w:t>D</w:t>
      </w:r>
      <w:r>
        <w:t>irect the Town’s legal counsel to review the identified overpayments and take appropriate action to recover those funds.</w:t>
      </w:r>
    </w:p>
    <w:p w:rsidR="00EF72A4" w:rsidRDefault="00B32D51">
      <w:pPr>
        <w:numPr>
          <w:ilvl w:val="0"/>
          <w:numId w:val="2"/>
        </w:numPr>
        <w:ind w:right="0" w:hanging="360"/>
      </w:pPr>
      <w:r>
        <w:t>Ensure the errors in the leave accrual records, as identified in this report, are corrected.</w:t>
      </w:r>
    </w:p>
    <w:p w:rsidR="00EF72A4" w:rsidRDefault="00B32D51">
      <w:pPr>
        <w:numPr>
          <w:ilvl w:val="0"/>
          <w:numId w:val="2"/>
        </w:numPr>
        <w:ind w:right="0" w:hanging="360"/>
      </w:pPr>
      <w:r>
        <w:t>Ensure Town personnel properly calculate a</w:t>
      </w:r>
      <w:r>
        <w:t>nd deduct leave time used from employee leave accrual balances.</w:t>
      </w:r>
    </w:p>
    <w:p w:rsidR="00EF72A4" w:rsidRDefault="00B32D51">
      <w:pPr>
        <w:numPr>
          <w:ilvl w:val="0"/>
          <w:numId w:val="2"/>
        </w:numPr>
        <w:ind w:right="0" w:hanging="360"/>
      </w:pPr>
      <w:r>
        <w:lastRenderedPageBreak/>
        <w:t>Ensure accrued leave is both earned and carried over in accordance with the terms of the Town’s employee policy manual and CBA.</w:t>
      </w:r>
    </w:p>
    <w:p w:rsidR="00EF72A4" w:rsidRDefault="00B32D51">
      <w:pPr>
        <w:numPr>
          <w:ilvl w:val="0"/>
          <w:numId w:val="2"/>
        </w:numPr>
        <w:ind w:right="0" w:hanging="360"/>
      </w:pPr>
      <w:r>
        <w:t>Designate an individual who is independent of leave accrual reco</w:t>
      </w:r>
      <w:r>
        <w:t>rd maintenance to periodically review leave accrual records and balances for accuracy.</w:t>
      </w:r>
    </w:p>
    <w:p w:rsidR="00EF72A4" w:rsidRDefault="00EF72A4">
      <w:pPr>
        <w:sectPr w:rsidR="00EF72A4">
          <w:headerReference w:type="even" r:id="rId14"/>
          <w:headerReference w:type="default" r:id="rId15"/>
          <w:footerReference w:type="even" r:id="rId16"/>
          <w:footerReference w:type="default" r:id="rId17"/>
          <w:headerReference w:type="first" r:id="rId18"/>
          <w:footerReference w:type="first" r:id="rId19"/>
          <w:pgSz w:w="12240" w:h="15840"/>
          <w:pgMar w:top="1080" w:right="3191" w:bottom="1561" w:left="1080" w:header="720" w:footer="671" w:gutter="0"/>
          <w:pgNumType w:start="1"/>
          <w:cols w:space="720"/>
          <w:titlePg/>
        </w:sectPr>
      </w:pPr>
    </w:p>
    <w:p w:rsidR="00EF72A4" w:rsidRDefault="00B32D51">
      <w:pPr>
        <w:pStyle w:val="Heading1"/>
        <w:ind w:left="0"/>
      </w:pPr>
      <w:bookmarkStart w:id="6" w:name="_Toc6420"/>
      <w:r>
        <w:lastRenderedPageBreak/>
        <w:t>Appendix A: Response From Town Officials</w:t>
      </w:r>
      <w:bookmarkEnd w:id="6"/>
    </w:p>
    <w:p w:rsidR="00EF72A4" w:rsidRDefault="00B32D51">
      <w:pPr>
        <w:spacing w:after="494" w:line="259" w:lineRule="auto"/>
        <w:ind w:left="3" w:right="-1397" w:firstLine="0"/>
      </w:pPr>
      <w:r>
        <w:rPr>
          <w:rFonts w:ascii="Calibri" w:eastAsia="Calibri" w:hAnsi="Calibri" w:cs="Calibri"/>
          <w:noProof/>
          <w:color w:val="000000"/>
        </w:rPr>
        <mc:AlternateContent>
          <mc:Choice Requires="wpg">
            <w:drawing>
              <wp:inline distT="0" distB="0" distL="0" distR="0">
                <wp:extent cx="6400800" cy="25400"/>
                <wp:effectExtent l="0" t="0" r="0" b="0"/>
                <wp:docPr id="5347" name="Group 5347"/>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303" name="Shape 303"/>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7" style="width:504pt;height:2pt;mso-position-horizontal-relative:char;mso-position-vertical-relative:line" coordsize="64008,254">
                <v:shape id="Shape 303" style="position:absolute;width:64008;height:0;left:0;top:0;" coordsize="6400800,0" path="m0,0l6400800,0">
                  <v:stroke weight="2pt" endcap="flat" joinstyle="miter" miterlimit="4" on="true" color="#558ed5"/>
                  <v:fill on="false" color="#000000" opacity="0"/>
                </v:shape>
              </v:group>
            </w:pict>
          </mc:Fallback>
        </mc:AlternateContent>
      </w:r>
    </w:p>
    <w:p w:rsidR="00EF72A4" w:rsidRDefault="00B32D51">
      <w:pPr>
        <w:spacing w:after="0" w:line="259" w:lineRule="auto"/>
        <w:ind w:left="-2" w:right="-67" w:firstLine="0"/>
      </w:pPr>
      <w:r>
        <w:rPr>
          <w:rFonts w:ascii="Calibri" w:eastAsia="Calibri" w:hAnsi="Calibri" w:cs="Calibri"/>
          <w:noProof/>
          <w:color w:val="000000"/>
        </w:rPr>
        <w:lastRenderedPageBreak/>
        <mc:AlternateContent>
          <mc:Choice Requires="wpg">
            <w:drawing>
              <wp:inline distT="0" distB="0" distL="0" distR="0">
                <wp:extent cx="5558532" cy="7830541"/>
                <wp:effectExtent l="0" t="0" r="0" b="0"/>
                <wp:docPr id="5348" name="Group 5348"/>
                <wp:cNvGraphicFramePr/>
                <a:graphic xmlns:a="http://schemas.openxmlformats.org/drawingml/2006/main">
                  <a:graphicData uri="http://schemas.microsoft.com/office/word/2010/wordprocessingGroup">
                    <wpg:wgp>
                      <wpg:cNvGrpSpPr/>
                      <wpg:grpSpPr>
                        <a:xfrm>
                          <a:off x="0" y="0"/>
                          <a:ext cx="5558532" cy="7830541"/>
                          <a:chOff x="0" y="0"/>
                          <a:chExt cx="5558532" cy="7830541"/>
                        </a:xfrm>
                      </wpg:grpSpPr>
                      <pic:pic xmlns:pic="http://schemas.openxmlformats.org/drawingml/2006/picture">
                        <pic:nvPicPr>
                          <pic:cNvPr id="6168" name="Picture 6168"/>
                          <pic:cNvPicPr/>
                        </pic:nvPicPr>
                        <pic:blipFill>
                          <a:blip r:embed="rId20"/>
                          <a:stretch>
                            <a:fillRect/>
                          </a:stretch>
                        </pic:blipFill>
                        <pic:spPr>
                          <a:xfrm>
                            <a:off x="-1421" y="-3441"/>
                            <a:ext cx="5553457" cy="7833361"/>
                          </a:xfrm>
                          <a:prstGeom prst="rect">
                            <a:avLst/>
                          </a:prstGeom>
                        </pic:spPr>
                      </pic:pic>
                      <pic:pic xmlns:pic="http://schemas.openxmlformats.org/drawingml/2006/picture">
                        <pic:nvPicPr>
                          <pic:cNvPr id="307" name="Picture 307"/>
                          <pic:cNvPicPr/>
                        </pic:nvPicPr>
                        <pic:blipFill>
                          <a:blip r:embed="rId21"/>
                          <a:stretch>
                            <a:fillRect/>
                          </a:stretch>
                        </pic:blipFill>
                        <pic:spPr>
                          <a:xfrm>
                            <a:off x="0" y="5277"/>
                            <a:ext cx="5558532" cy="845404"/>
                          </a:xfrm>
                          <a:prstGeom prst="rect">
                            <a:avLst/>
                          </a:prstGeom>
                        </pic:spPr>
                      </pic:pic>
                      <pic:pic xmlns:pic="http://schemas.openxmlformats.org/drawingml/2006/picture">
                        <pic:nvPicPr>
                          <pic:cNvPr id="308" name="Picture 308"/>
                          <pic:cNvPicPr/>
                        </pic:nvPicPr>
                        <pic:blipFill>
                          <a:blip r:embed="rId22"/>
                          <a:stretch>
                            <a:fillRect/>
                          </a:stretch>
                        </pic:blipFill>
                        <pic:spPr>
                          <a:xfrm>
                            <a:off x="126811" y="1273383"/>
                            <a:ext cx="5156965" cy="6541314"/>
                          </a:xfrm>
                          <a:prstGeom prst="rect">
                            <a:avLst/>
                          </a:prstGeom>
                        </pic:spPr>
                      </pic:pic>
                      <wps:wsp>
                        <wps:cNvPr id="6555" name="Shape 6555"/>
                        <wps:cNvSpPr/>
                        <wps:spPr>
                          <a:xfrm>
                            <a:off x="4440187" y="5388864"/>
                            <a:ext cx="290614" cy="118390"/>
                          </a:xfrm>
                          <a:custGeom>
                            <a:avLst/>
                            <a:gdLst/>
                            <a:ahLst/>
                            <a:cxnLst/>
                            <a:rect l="0" t="0" r="0" b="0"/>
                            <a:pathLst>
                              <a:path w="290614" h="118390">
                                <a:moveTo>
                                  <a:pt x="0" y="0"/>
                                </a:moveTo>
                                <a:lnTo>
                                  <a:pt x="290614" y="0"/>
                                </a:lnTo>
                                <a:lnTo>
                                  <a:pt x="290614" y="118390"/>
                                </a:lnTo>
                                <a:lnTo>
                                  <a:pt x="0" y="1183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348" style="width:437.68pt;height:616.578pt;mso-position-horizontal-relative:char;mso-position-vertical-relative:line" coordsize="55585,78305">
                <v:shape id="Picture 6168" style="position:absolute;width:55534;height:78333;left:-14;top:-34;" filled="f">
                  <v:imagedata r:id="rId30"/>
                </v:shape>
                <v:shape id="Picture 307" style="position:absolute;width:55585;height:8454;left:0;top:52;" filled="f">
                  <v:imagedata r:id="rId31"/>
                </v:shape>
                <v:shape id="Picture 308" style="position:absolute;width:51569;height:65413;left:1268;top:12733;" filled="f">
                  <v:imagedata r:id="rId32"/>
                </v:shape>
                <v:shape id="Shape 6556" style="position:absolute;width:2906;height:1183;left:44401;top:53888;" coordsize="290614,118390" path="m0,0l290614,0l290614,118390l0,118390l0,0">
                  <v:stroke weight="0pt" endcap="flat" joinstyle="miter" miterlimit="10" on="false" color="#000000" opacity="0"/>
                  <v:fill on="true" color="#000000"/>
                </v:shape>
              </v:group>
            </w:pict>
          </mc:Fallback>
        </mc:AlternateContent>
      </w:r>
    </w:p>
    <w:p w:rsidR="00EF72A4" w:rsidRDefault="00B32D51">
      <w:pPr>
        <w:spacing w:after="0" w:line="259" w:lineRule="auto"/>
        <w:ind w:left="5" w:right="-608" w:firstLine="0"/>
      </w:pPr>
      <w:r>
        <w:rPr>
          <w:rFonts w:ascii="Calibri" w:eastAsia="Calibri" w:hAnsi="Calibri" w:cs="Calibri"/>
          <w:noProof/>
          <w:color w:val="000000"/>
        </w:rPr>
        <w:lastRenderedPageBreak/>
        <mc:AlternateContent>
          <mc:Choice Requires="wpg">
            <w:drawing>
              <wp:inline distT="0" distB="0" distL="0" distR="0">
                <wp:extent cx="5897881" cy="2084832"/>
                <wp:effectExtent l="0" t="0" r="0" b="0"/>
                <wp:docPr id="4676" name="Group 4676"/>
                <wp:cNvGraphicFramePr/>
                <a:graphic xmlns:a="http://schemas.openxmlformats.org/drawingml/2006/main">
                  <a:graphicData uri="http://schemas.microsoft.com/office/word/2010/wordprocessingGroup">
                    <wpg:wgp>
                      <wpg:cNvGrpSpPr/>
                      <wpg:grpSpPr>
                        <a:xfrm>
                          <a:off x="0" y="0"/>
                          <a:ext cx="5897881" cy="2084832"/>
                          <a:chOff x="0" y="0"/>
                          <a:chExt cx="5897881" cy="2084832"/>
                        </a:xfrm>
                      </wpg:grpSpPr>
                      <pic:pic xmlns:pic="http://schemas.openxmlformats.org/drawingml/2006/picture">
                        <pic:nvPicPr>
                          <pic:cNvPr id="6169" name="Picture 6169"/>
                          <pic:cNvPicPr/>
                        </pic:nvPicPr>
                        <pic:blipFill>
                          <a:blip r:embed="rId33"/>
                          <a:stretch>
                            <a:fillRect/>
                          </a:stretch>
                        </pic:blipFill>
                        <pic:spPr>
                          <a:xfrm>
                            <a:off x="-2603" y="-4063"/>
                            <a:ext cx="5900929" cy="2087880"/>
                          </a:xfrm>
                          <a:prstGeom prst="rect">
                            <a:avLst/>
                          </a:prstGeom>
                        </pic:spPr>
                      </pic:pic>
                      <pic:pic xmlns:pic="http://schemas.openxmlformats.org/drawingml/2006/picture">
                        <pic:nvPicPr>
                          <pic:cNvPr id="319" name="Picture 319"/>
                          <pic:cNvPicPr/>
                        </pic:nvPicPr>
                        <pic:blipFill>
                          <a:blip r:embed="rId34"/>
                          <a:stretch>
                            <a:fillRect/>
                          </a:stretch>
                        </pic:blipFill>
                        <pic:spPr>
                          <a:xfrm>
                            <a:off x="167640" y="109728"/>
                            <a:ext cx="5681472" cy="707136"/>
                          </a:xfrm>
                          <a:prstGeom prst="rect">
                            <a:avLst/>
                          </a:prstGeom>
                        </pic:spPr>
                      </pic:pic>
                      <pic:pic xmlns:pic="http://schemas.openxmlformats.org/drawingml/2006/picture">
                        <pic:nvPicPr>
                          <pic:cNvPr id="320" name="Picture 320"/>
                          <pic:cNvPicPr/>
                        </pic:nvPicPr>
                        <pic:blipFill>
                          <a:blip r:embed="rId35"/>
                          <a:stretch>
                            <a:fillRect/>
                          </a:stretch>
                        </pic:blipFill>
                        <pic:spPr>
                          <a:xfrm>
                            <a:off x="143256" y="1389888"/>
                            <a:ext cx="1609344" cy="158496"/>
                          </a:xfrm>
                          <a:prstGeom prst="rect">
                            <a:avLst/>
                          </a:prstGeom>
                        </pic:spPr>
                      </pic:pic>
                      <pic:pic xmlns:pic="http://schemas.openxmlformats.org/drawingml/2006/picture">
                        <pic:nvPicPr>
                          <pic:cNvPr id="321" name="Picture 321"/>
                          <pic:cNvPicPr/>
                        </pic:nvPicPr>
                        <pic:blipFill>
                          <a:blip r:embed="rId36"/>
                          <a:stretch>
                            <a:fillRect/>
                          </a:stretch>
                        </pic:blipFill>
                        <pic:spPr>
                          <a:xfrm>
                            <a:off x="143256" y="1767840"/>
                            <a:ext cx="926592" cy="207264"/>
                          </a:xfrm>
                          <a:prstGeom prst="rect">
                            <a:avLst/>
                          </a:prstGeom>
                        </pic:spPr>
                      </pic:pic>
                      <pic:pic xmlns:pic="http://schemas.openxmlformats.org/drawingml/2006/picture">
                        <pic:nvPicPr>
                          <pic:cNvPr id="322" name="Picture 322"/>
                          <pic:cNvPicPr/>
                        </pic:nvPicPr>
                        <pic:blipFill>
                          <a:blip r:embed="rId37"/>
                          <a:stretch>
                            <a:fillRect/>
                          </a:stretch>
                        </pic:blipFill>
                        <pic:spPr>
                          <a:xfrm>
                            <a:off x="289560" y="865632"/>
                            <a:ext cx="975360" cy="377952"/>
                          </a:xfrm>
                          <a:prstGeom prst="rect">
                            <a:avLst/>
                          </a:prstGeom>
                        </pic:spPr>
                      </pic:pic>
                    </wpg:wgp>
                  </a:graphicData>
                </a:graphic>
              </wp:inline>
            </w:drawing>
          </mc:Choice>
          <mc:Fallback xmlns:a="http://schemas.openxmlformats.org/drawingml/2006/main">
            <w:pict>
              <v:group id="Group 4676" style="width:464.4pt;height:164.16pt;mso-position-horizontal-relative:char;mso-position-vertical-relative:line" coordsize="58978,20848">
                <v:shape id="Picture 6169" style="position:absolute;width:59009;height:20878;left:-26;top:-40;" filled="f">
                  <v:imagedata r:id="rId38"/>
                </v:shape>
                <v:shape id="Picture 319" style="position:absolute;width:56814;height:7071;left:1676;top:1097;" filled="f">
                  <v:imagedata r:id="rId39"/>
                </v:shape>
                <v:shape id="Picture 320" style="position:absolute;width:16093;height:1584;left:1432;top:13898;" filled="f">
                  <v:imagedata r:id="rId40"/>
                </v:shape>
                <v:shape id="Picture 321" style="position:absolute;width:9265;height:2072;left:1432;top:17678;" filled="f">
                  <v:imagedata r:id="rId41"/>
                </v:shape>
                <v:shape id="Picture 322" style="position:absolute;width:9753;height:3779;left:2895;top:8656;" filled="f">
                  <v:imagedata r:id="rId42"/>
                </v:shape>
              </v:group>
            </w:pict>
          </mc:Fallback>
        </mc:AlternateContent>
      </w:r>
      <w:r>
        <w:br w:type="page"/>
      </w:r>
    </w:p>
    <w:p w:rsidR="00EF72A4" w:rsidRDefault="00B32D51">
      <w:pPr>
        <w:pStyle w:val="Heading1"/>
        <w:ind w:left="0"/>
      </w:pPr>
      <w:bookmarkStart w:id="7" w:name="_Toc6421"/>
      <w:r>
        <w:lastRenderedPageBreak/>
        <w:t>Appendix B: Audit Methodology and Standards</w:t>
      </w:r>
      <w:bookmarkEnd w:id="7"/>
    </w:p>
    <w:p w:rsidR="00EF72A4" w:rsidRDefault="00B32D51">
      <w:pPr>
        <w:spacing w:after="460" w:line="259" w:lineRule="auto"/>
        <w:ind w:left="3" w:right="-1397" w:firstLine="0"/>
      </w:pPr>
      <w:r>
        <w:rPr>
          <w:rFonts w:ascii="Calibri" w:eastAsia="Calibri" w:hAnsi="Calibri" w:cs="Calibri"/>
          <w:noProof/>
          <w:color w:val="000000"/>
        </w:rPr>
        <mc:AlternateContent>
          <mc:Choice Requires="wpg">
            <w:drawing>
              <wp:inline distT="0" distB="0" distL="0" distR="0">
                <wp:extent cx="6400800" cy="25400"/>
                <wp:effectExtent l="0" t="0" r="0" b="0"/>
                <wp:docPr id="4778" name="Group 4778"/>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328" name="Shape 328"/>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s:wsp>
                        <wps:cNvPr id="329" name="Shape 329"/>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8" style="width:504pt;height:2pt;mso-position-horizontal-relative:char;mso-position-vertical-relative:line" coordsize="64008,254">
                <v:shape id="Shape 328" style="position:absolute;width:64008;height:0;left:0;top:0;" coordsize="6400800,0" path="m0,0l6400800,0">
                  <v:stroke weight="2pt" endcap="flat" joinstyle="miter" miterlimit="4" on="true" color="#558ed5"/>
                  <v:fill on="false" color="#000000" opacity="0"/>
                </v:shape>
                <v:shape id="Shape 329" style="position:absolute;width:64008;height:0;left:0;top:0;" coordsize="6400800,0" path="m0,0l6400800,0">
                  <v:stroke weight="2pt" endcap="flat" joinstyle="miter" miterlimit="4" on="true" color="#558ed5"/>
                  <v:fill on="false" color="#000000" opacity="0"/>
                </v:shape>
              </v:group>
            </w:pict>
          </mc:Fallback>
        </mc:AlternateContent>
      </w:r>
    </w:p>
    <w:p w:rsidR="00EF72A4" w:rsidRDefault="00B32D51">
      <w:pPr>
        <w:ind w:left="-3" w:right="738"/>
      </w:pPr>
      <w:r>
        <w:t>We conducted this audit pursuant to Article V, Section 1 of the State Constitution and the State Comptroller’s authority as set forth in Article 3 of the New York State General Municipal Law. To achieve the audit objective and obtain valid audit evidence,</w:t>
      </w:r>
      <w:r>
        <w:rPr>
          <w:sz w:val="20"/>
          <w:vertAlign w:val="superscript"/>
        </w:rPr>
        <w:footnoteReference w:id="4"/>
      </w:r>
      <w:r>
        <w:t xml:space="preserve"> our audit procedures included the following: </w:t>
      </w:r>
      <w:r>
        <w:rPr>
          <w:rFonts w:ascii="Wingdings" w:eastAsia="Wingdings" w:hAnsi="Wingdings" w:cs="Wingdings"/>
          <w:color w:val="F79646"/>
          <w:sz w:val="17"/>
        </w:rPr>
        <w:t></w:t>
      </w:r>
      <w:r>
        <w:rPr>
          <w:color w:val="F79646"/>
          <w:sz w:val="17"/>
        </w:rPr>
        <w:t xml:space="preserve"> </w:t>
      </w:r>
      <w:r>
        <w:t>We interviewed Town officials and employees and reviewed the Town’s employee policy manual, CBA and various records and reports to gain an understanding of procedures related to the maintenance of leave accrual records and any associated effects of deficie</w:t>
      </w:r>
      <w:r>
        <w:t xml:space="preserve">ncies in those procedures. </w:t>
      </w:r>
      <w:r>
        <w:rPr>
          <w:rFonts w:ascii="Wingdings" w:eastAsia="Wingdings" w:hAnsi="Wingdings" w:cs="Wingdings"/>
          <w:color w:val="F79646"/>
          <w:sz w:val="17"/>
        </w:rPr>
        <w:t></w:t>
      </w:r>
      <w:r>
        <w:rPr>
          <w:color w:val="F79646"/>
          <w:sz w:val="17"/>
        </w:rPr>
        <w:t xml:space="preserve"> </w:t>
      </w:r>
      <w:r>
        <w:t xml:space="preserve">We used our professional judgment to select a sample of 15 employees’ leave accrual records during the audit period to determine whether the leave time they recorded on their time records was properly deducted from their leave </w:t>
      </w:r>
      <w:r>
        <w:t xml:space="preserve">accrual balances. We also determined whether the amounts of leave credited and carried forward during 2018 and 2019 agreed with the Town’s employee policy manual or CBA. Our sample included employees from all of the Town’s departments.  </w:t>
      </w:r>
    </w:p>
    <w:p w:rsidR="00EF72A4" w:rsidRDefault="00B32D51">
      <w:pPr>
        <w:ind w:left="-3" w:right="885"/>
      </w:pPr>
      <w:r>
        <w:t xml:space="preserve">We conducted this </w:t>
      </w:r>
      <w:r>
        <w:t>performance audit in accordance with GAGAS (generally accepted government auditing standards). Those standards require that we plan and perform the audit to obtain sufficient, appropriate evidence to provide a reasonable basis for our findings and conclusi</w:t>
      </w:r>
      <w:r>
        <w:t>ons based on our audit objective. We believe that the evidence obtained provides a reasonable basis for our findings and conclusions based on our audit objective.</w:t>
      </w:r>
    </w:p>
    <w:p w:rsidR="00EF72A4" w:rsidRDefault="00B32D51">
      <w:pPr>
        <w:ind w:left="-3" w:right="747"/>
      </w:pPr>
      <w:r>
        <w:t>Unless otherwise indicated in this report, samples for testing were selected based on profess</w:t>
      </w:r>
      <w:r>
        <w:t>ional judgment, as it was not the intent to project the results onto the entire population. Where applicable, information is presented concerning the value and/or size of the relevant population and the sample selected for examination.</w:t>
      </w:r>
    </w:p>
    <w:p w:rsidR="00EF72A4" w:rsidRDefault="00B32D51">
      <w:pPr>
        <w:ind w:left="-3" w:right="645"/>
      </w:pPr>
      <w:r>
        <w:t>A written corrective</w:t>
      </w:r>
      <w:r>
        <w:t xml:space="preserve"> action plan (CAP) that addresses the findings and recommendations in this report should be prepared and provided to our office within 90 days, pursuant to Section 35 of General Municipal Law. For more information on preparing and filing your CAP, please r</w:t>
      </w:r>
      <w:r>
        <w:t xml:space="preserve">efer to our brochure, </w:t>
      </w:r>
      <w:r>
        <w:rPr>
          <w:i/>
        </w:rPr>
        <w:t>Responding to an OSC Audit Report</w:t>
      </w:r>
      <w:r>
        <w:t>, which you received with the draft audit report. We encourage the Board to make the CAP available for public review in the Town Clerk’s office.</w:t>
      </w:r>
    </w:p>
    <w:p w:rsidR="00EF72A4" w:rsidRDefault="00EF72A4">
      <w:pPr>
        <w:sectPr w:rsidR="00EF72A4">
          <w:headerReference w:type="even" r:id="rId43"/>
          <w:headerReference w:type="default" r:id="rId44"/>
          <w:footerReference w:type="even" r:id="rId45"/>
          <w:footerReference w:type="default" r:id="rId46"/>
          <w:headerReference w:type="first" r:id="rId47"/>
          <w:footerReference w:type="first" r:id="rId48"/>
          <w:pgSz w:w="12240" w:h="15840"/>
          <w:pgMar w:top="1078" w:right="2477" w:bottom="1314" w:left="1078" w:header="720" w:footer="671" w:gutter="0"/>
          <w:cols w:space="720"/>
        </w:sectPr>
      </w:pPr>
    </w:p>
    <w:p w:rsidR="00EF72A4" w:rsidRDefault="00B32D51">
      <w:pPr>
        <w:pStyle w:val="Heading1"/>
        <w:ind w:left="0"/>
      </w:pPr>
      <w:bookmarkStart w:id="8" w:name="_Toc6422"/>
      <w:r>
        <w:lastRenderedPageBreak/>
        <w:t>Appendix C: Resources and Services</w:t>
      </w:r>
      <w:bookmarkEnd w:id="8"/>
    </w:p>
    <w:p w:rsidR="00EF72A4" w:rsidRDefault="00B32D51">
      <w:pPr>
        <w:spacing w:after="460" w:line="259" w:lineRule="auto"/>
        <w:ind w:left="0" w:right="-783" w:firstLine="0"/>
      </w:pPr>
      <w:r>
        <w:rPr>
          <w:rFonts w:ascii="Calibri" w:eastAsia="Calibri" w:hAnsi="Calibri" w:cs="Calibri"/>
          <w:noProof/>
          <w:color w:val="000000"/>
        </w:rPr>
        <mc:AlternateContent>
          <mc:Choice Requires="wpg">
            <w:drawing>
              <wp:inline distT="0" distB="0" distL="0" distR="0">
                <wp:extent cx="6400800" cy="25400"/>
                <wp:effectExtent l="0" t="0" r="0" b="0"/>
                <wp:docPr id="4868" name="Group 4868"/>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384" name="Shape 384"/>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s:wsp>
                        <wps:cNvPr id="386" name="Shape 386"/>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8" style="width:504pt;height:2pt;mso-position-horizontal-relative:char;mso-position-vertical-relative:line" coordsize="64008,254">
                <v:shape id="Shape 384" style="position:absolute;width:64008;height:0;left:0;top:0;" coordsize="6400800,0" path="m0,0l6400800,0">
                  <v:stroke weight="2pt" endcap="flat" joinstyle="miter" miterlimit="4" on="true" color="#558ed5"/>
                  <v:fill on="false" color="#000000" opacity="0"/>
                </v:shape>
                <v:shape id="Shape 386" style="position:absolute;width:64008;height:0;left:0;top:0;" coordsize="6400800,0" path="m0,0l6400800,0">
                  <v:stroke weight="2pt" endcap="flat" joinstyle="miter" miterlimit="4" on="true" color="#558ed5"/>
                  <v:fill on="false" color="#000000" opacity="0"/>
                </v:shape>
              </v:group>
            </w:pict>
          </mc:Fallback>
        </mc:AlternateContent>
      </w:r>
    </w:p>
    <w:p w:rsidR="00EF72A4" w:rsidRDefault="00B32D51">
      <w:pPr>
        <w:spacing w:after="7" w:line="259" w:lineRule="auto"/>
        <w:ind w:left="3" w:right="0" w:firstLine="0"/>
      </w:pPr>
      <w:r>
        <w:rPr>
          <w:b/>
        </w:rPr>
        <w:t>Regional Office Directory</w:t>
      </w:r>
      <w:r>
        <w:t xml:space="preserve"> </w:t>
      </w:r>
    </w:p>
    <w:p w:rsidR="00EF72A4" w:rsidRDefault="00B32D51">
      <w:pPr>
        <w:ind w:left="-3" w:right="0"/>
      </w:pPr>
      <w:r>
        <w:t>www.osc.state.ny.us/localgov/regional_directory.pdf</w:t>
      </w:r>
    </w:p>
    <w:p w:rsidR="00EF72A4" w:rsidRDefault="00B32D51">
      <w:pPr>
        <w:ind w:left="-3" w:right="0"/>
      </w:pPr>
      <w:r>
        <w:rPr>
          <w:b/>
        </w:rPr>
        <w:t>Cost-Saving Ideas</w:t>
      </w:r>
      <w:r>
        <w:t xml:space="preserve"> – Resources, advice and assistance on cost-saving ideas</w:t>
      </w:r>
      <w:r>
        <w:t xml:space="preserve"> </w:t>
      </w:r>
      <w:r>
        <w:t>www.osc.state.ny.us/localgov/costsavings/index.htm</w:t>
      </w:r>
    </w:p>
    <w:p w:rsidR="00EF72A4" w:rsidRDefault="00B32D51">
      <w:pPr>
        <w:spacing w:after="0"/>
        <w:ind w:left="-3" w:right="1290"/>
      </w:pPr>
      <w:r>
        <w:rPr>
          <w:b/>
        </w:rPr>
        <w:t>Fiscal Stress Monitoring</w:t>
      </w:r>
      <w:r>
        <w:t xml:space="preserve"> – Resources for local government officials experiencing fiscal problems</w:t>
      </w:r>
      <w:r>
        <w:t xml:space="preserve"> </w:t>
      </w:r>
    </w:p>
    <w:p w:rsidR="00EF72A4" w:rsidRDefault="00B32D51">
      <w:pPr>
        <w:ind w:left="-3" w:right="0"/>
      </w:pPr>
      <w:r>
        <w:t>www.osc.state.ny.us/localgov/fiscalmonitoring/index.htm</w:t>
      </w:r>
    </w:p>
    <w:p w:rsidR="00EF72A4" w:rsidRDefault="00B32D51">
      <w:pPr>
        <w:ind w:left="-3" w:right="699"/>
      </w:pPr>
      <w:r>
        <w:rPr>
          <w:b/>
        </w:rPr>
        <w:t>Local Government Management Guides</w:t>
      </w:r>
      <w:r>
        <w:t xml:space="preserve"> – Series of publications that include technical information and suggested practices for loc</w:t>
      </w:r>
      <w:r>
        <w:t>al government management</w:t>
      </w:r>
      <w:r>
        <w:t xml:space="preserve"> </w:t>
      </w:r>
      <w:r>
        <w:t>www.osc.state.ny.us/localgov/pubs/listacctg.htm#lgmg</w:t>
      </w:r>
    </w:p>
    <w:p w:rsidR="00EF72A4" w:rsidRDefault="00B32D51">
      <w:pPr>
        <w:spacing w:after="0"/>
        <w:ind w:left="-3" w:right="578"/>
      </w:pPr>
      <w:r>
        <w:rPr>
          <w:b/>
        </w:rPr>
        <w:t>Planning and Budgeting Guides</w:t>
      </w:r>
      <w:r>
        <w:t xml:space="preserve"> – Resources for developing multiyear financial, capital, strategic and other plans</w:t>
      </w:r>
      <w:r>
        <w:t xml:space="preserve"> </w:t>
      </w:r>
    </w:p>
    <w:p w:rsidR="00EF72A4" w:rsidRDefault="00B32D51">
      <w:pPr>
        <w:ind w:left="-3" w:right="0"/>
      </w:pPr>
      <w:r>
        <w:t>www.osc.state.ny.us/localgov/planbudget/index.htm</w:t>
      </w:r>
    </w:p>
    <w:p w:rsidR="00EF72A4" w:rsidRDefault="00B32D51">
      <w:pPr>
        <w:ind w:left="-3" w:right="1038"/>
      </w:pPr>
      <w:r>
        <w:rPr>
          <w:b/>
        </w:rPr>
        <w:t>Protecting Sen</w:t>
      </w:r>
      <w:r>
        <w:rPr>
          <w:b/>
        </w:rPr>
        <w:t>sitive Data and Other Local Government Assets</w:t>
      </w:r>
      <w:r>
        <w:t xml:space="preserve"> – A nontechnical cybersecurity guide for local government leaders </w:t>
      </w:r>
      <w:r>
        <w:t xml:space="preserve"> </w:t>
      </w:r>
      <w:r>
        <w:t>www.osc.state.ny.us/localgov/pubs/cyber-security-guide.pdf</w:t>
      </w:r>
    </w:p>
    <w:p w:rsidR="00EF72A4" w:rsidRDefault="00B32D51">
      <w:pPr>
        <w:ind w:left="-3" w:right="1066"/>
      </w:pPr>
      <w:r>
        <w:rPr>
          <w:b/>
        </w:rPr>
        <w:t>Required Reporting</w:t>
      </w:r>
      <w:r>
        <w:t xml:space="preserve"> – Information and resources for reports and forms that are filed </w:t>
      </w:r>
      <w:r>
        <w:t xml:space="preserve">with the Office of the State Comptroller </w:t>
      </w:r>
      <w:r>
        <w:t xml:space="preserve"> </w:t>
      </w:r>
      <w:r>
        <w:t>www.osc.state.ny.us/localgov/finreporting/index.htm</w:t>
      </w:r>
    </w:p>
    <w:p w:rsidR="00EF72A4" w:rsidRDefault="00B32D51">
      <w:pPr>
        <w:ind w:left="-3" w:right="308"/>
      </w:pPr>
      <w:r>
        <w:rPr>
          <w:b/>
        </w:rPr>
        <w:t>Research Reports/Publications</w:t>
      </w:r>
      <w:r>
        <w:t xml:space="preserve"> – Reports on major policy issues facing local governments and State policy-makers </w:t>
      </w:r>
      <w:r>
        <w:t xml:space="preserve"> </w:t>
      </w:r>
      <w:r>
        <w:t>www.osc.state.ny.us/localgov/researchpubs/index.h</w:t>
      </w:r>
      <w:r>
        <w:t>tm</w:t>
      </w:r>
    </w:p>
    <w:p w:rsidR="00EF72A4" w:rsidRDefault="00B32D51">
      <w:pPr>
        <w:ind w:left="-3" w:right="1155"/>
      </w:pPr>
      <w:r>
        <w:rPr>
          <w:b/>
        </w:rPr>
        <w:t xml:space="preserve">Training </w:t>
      </w:r>
      <w:r>
        <w:t>– Resources for local government officials on in-person and online training opportunities on a wide range of topics</w:t>
      </w:r>
      <w:r>
        <w:t xml:space="preserve"> </w:t>
      </w:r>
      <w:r>
        <w:t>www.osc.state.ny.us/localgov/academy/index.htm</w:t>
      </w:r>
    </w:p>
    <w:p w:rsidR="00EF72A4" w:rsidRDefault="00B32D51">
      <w:pPr>
        <w:spacing w:after="87" w:line="259" w:lineRule="auto"/>
        <w:ind w:left="-5" w:right="0"/>
      </w:pPr>
      <w:r>
        <w:rPr>
          <w:b/>
          <w:color w:val="1F497D"/>
          <w:sz w:val="30"/>
        </w:rPr>
        <w:t>Contact</w:t>
      </w:r>
    </w:p>
    <w:p w:rsidR="00EF72A4" w:rsidRDefault="00B32D51">
      <w:pPr>
        <w:spacing w:after="0"/>
        <w:ind w:left="-3" w:right="0"/>
      </w:pPr>
      <w:r>
        <w:t>Office of the New York State Comptroller</w:t>
      </w:r>
      <w:r>
        <w:t xml:space="preserve"> </w:t>
      </w:r>
    </w:p>
    <w:p w:rsidR="00EF72A4" w:rsidRDefault="00B32D51">
      <w:pPr>
        <w:spacing w:after="0"/>
        <w:ind w:left="-3" w:right="0"/>
      </w:pPr>
      <w:r>
        <w:t>Division of Local Government and School Accountability</w:t>
      </w:r>
      <w:r>
        <w:t xml:space="preserve"> </w:t>
      </w:r>
    </w:p>
    <w:p w:rsidR="00EF72A4" w:rsidRDefault="00B32D51">
      <w:pPr>
        <w:spacing w:after="96"/>
        <w:ind w:left="-3" w:right="0"/>
      </w:pPr>
      <w:r>
        <w:t>110 State Street, 12th Floor, Albany, New York 12236</w:t>
      </w:r>
    </w:p>
    <w:p w:rsidR="00EF72A4" w:rsidRDefault="00B32D51">
      <w:pPr>
        <w:spacing w:after="0" w:line="361" w:lineRule="auto"/>
        <w:ind w:left="-3" w:right="0"/>
      </w:pPr>
      <w:r>
        <w:t>Tel: (518) 474-4037 • Fax: (518) 486-6479 • Email: localgov@osc.ny.gov www.osc.state.ny.us/localgov/index.htm</w:t>
      </w:r>
    </w:p>
    <w:p w:rsidR="00EF72A4" w:rsidRDefault="00B32D51">
      <w:pPr>
        <w:spacing w:after="49"/>
        <w:ind w:left="-3" w:right="0"/>
      </w:pPr>
      <w:r>
        <w:t>Local Government and School Accountab</w:t>
      </w:r>
      <w:r>
        <w:t>ility Help Line: (866) 321-8503</w:t>
      </w:r>
    </w:p>
    <w:p w:rsidR="00EF72A4" w:rsidRDefault="00B32D51">
      <w:pPr>
        <w:spacing w:after="340" w:line="259" w:lineRule="auto"/>
        <w:ind w:left="0" w:right="-63" w:firstLine="0"/>
      </w:pPr>
      <w:r>
        <w:rPr>
          <w:rFonts w:ascii="Calibri" w:eastAsia="Calibri" w:hAnsi="Calibri" w:cs="Calibri"/>
          <w:noProof/>
          <w:color w:val="000000"/>
        </w:rPr>
        <mc:AlternateContent>
          <mc:Choice Requires="wpg">
            <w:drawing>
              <wp:inline distT="0" distB="0" distL="0" distR="0">
                <wp:extent cx="5943600" cy="25400"/>
                <wp:effectExtent l="0" t="0" r="0" b="0"/>
                <wp:docPr id="5919" name="Group 5919"/>
                <wp:cNvGraphicFramePr/>
                <a:graphic xmlns:a="http://schemas.openxmlformats.org/drawingml/2006/main">
                  <a:graphicData uri="http://schemas.microsoft.com/office/word/2010/wordprocessingGroup">
                    <wpg:wgp>
                      <wpg:cNvGrpSpPr/>
                      <wpg:grpSpPr>
                        <a:xfrm>
                          <a:off x="0" y="0"/>
                          <a:ext cx="5943600" cy="25400"/>
                          <a:chOff x="0" y="0"/>
                          <a:chExt cx="5943600" cy="25400"/>
                        </a:xfrm>
                      </wpg:grpSpPr>
                      <wps:wsp>
                        <wps:cNvPr id="439" name="Shape 439"/>
                        <wps:cNvSpPr/>
                        <wps:spPr>
                          <a:xfrm>
                            <a:off x="0" y="0"/>
                            <a:ext cx="5943600" cy="0"/>
                          </a:xfrm>
                          <a:custGeom>
                            <a:avLst/>
                            <a:gdLst/>
                            <a:ahLst/>
                            <a:cxnLst/>
                            <a:rect l="0" t="0" r="0" b="0"/>
                            <a:pathLst>
                              <a:path w="5943600">
                                <a:moveTo>
                                  <a:pt x="0" y="0"/>
                                </a:moveTo>
                                <a:lnTo>
                                  <a:pt x="5943600" y="0"/>
                                </a:lnTo>
                              </a:path>
                            </a:pathLst>
                          </a:custGeom>
                          <a:ln w="25400" cap="flat">
                            <a:miter lim="127000"/>
                          </a:ln>
                        </wps:spPr>
                        <wps:style>
                          <a:lnRef idx="1">
                            <a:srgbClr val="F7964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919" style="width:468pt;height:2pt;mso-position-horizontal-relative:char;mso-position-vertical-relative:line" coordsize="59436,254">
                <v:shape id="Shape 439" style="position:absolute;width:59436;height:0;left:0;top:0;" coordsize="5943600,0" path="m0,0l5943600,0">
                  <v:stroke weight="2pt" endcap="flat" joinstyle="miter" miterlimit="10" on="true" color="#f79646"/>
                  <v:fill on="false" color="#000000" opacity="0"/>
                </v:shape>
              </v:group>
            </w:pict>
          </mc:Fallback>
        </mc:AlternateContent>
      </w:r>
    </w:p>
    <w:p w:rsidR="00EF72A4" w:rsidRDefault="00B32D51">
      <w:pPr>
        <w:spacing w:after="96"/>
        <w:ind w:left="-3" w:right="0"/>
      </w:pPr>
      <w:r>
        <w:rPr>
          <w:b/>
        </w:rPr>
        <w:t xml:space="preserve">GLENS FALLS REGIONAL OFFICE </w:t>
      </w:r>
      <w:r>
        <w:t>– Jeffrey P. Leonard, Chief Examiner</w:t>
      </w:r>
    </w:p>
    <w:p w:rsidR="00EF72A4" w:rsidRDefault="00B32D51">
      <w:pPr>
        <w:spacing w:after="96"/>
        <w:ind w:left="-3" w:right="0"/>
      </w:pPr>
      <w:r>
        <w:lastRenderedPageBreak/>
        <w:t>One Broad Street Plaza • Glens Falls, New York 12801-4396</w:t>
      </w:r>
    </w:p>
    <w:p w:rsidR="00EF72A4" w:rsidRDefault="00B32D51">
      <w:pPr>
        <w:spacing w:after="96"/>
        <w:ind w:left="-3" w:right="0"/>
      </w:pPr>
      <w:r>
        <w:t>Tel (518) 793-0057 • Fax (518) 793-5797 • Email: Muni-GlensFalls@osc.ny.gov</w:t>
      </w:r>
    </w:p>
    <w:p w:rsidR="00EF72A4" w:rsidRDefault="00B32D51">
      <w:pPr>
        <w:spacing w:after="0"/>
        <w:ind w:left="-3" w:right="0"/>
      </w:pPr>
      <w:r>
        <w:t>Serving: Albany, Clinto</w:t>
      </w:r>
      <w:r>
        <w:t xml:space="preserve">n, Essex, Franklin, Fulton, Hamilton, Montgomery, Rensselaer, Saratoga, </w:t>
      </w:r>
    </w:p>
    <w:p w:rsidR="00EF72A4" w:rsidRDefault="00B32D51">
      <w:pPr>
        <w:spacing w:after="597"/>
        <w:ind w:left="-3" w:right="0"/>
      </w:pPr>
      <w:r>
        <w:t>Schenectady, Warren, Washington counties</w:t>
      </w:r>
    </w:p>
    <w:p w:rsidR="00EF72A4" w:rsidRDefault="00B32D51">
      <w:pPr>
        <w:spacing w:after="234" w:line="259" w:lineRule="auto"/>
        <w:ind w:left="0" w:right="0" w:firstLine="0"/>
      </w:pPr>
      <w:r>
        <w:rPr>
          <w:rFonts w:ascii="Calibri" w:eastAsia="Calibri" w:hAnsi="Calibri" w:cs="Calibri"/>
          <w:noProof/>
          <w:color w:val="000000"/>
        </w:rPr>
        <mc:AlternateContent>
          <mc:Choice Requires="wpg">
            <w:drawing>
              <wp:inline distT="0" distB="0" distL="0" distR="0">
                <wp:extent cx="622529" cy="263639"/>
                <wp:effectExtent l="0" t="0" r="0" b="0"/>
                <wp:docPr id="5918" name="Group 5918"/>
                <wp:cNvGraphicFramePr/>
                <a:graphic xmlns:a="http://schemas.openxmlformats.org/drawingml/2006/main">
                  <a:graphicData uri="http://schemas.microsoft.com/office/word/2010/wordprocessingGroup">
                    <wpg:wgp>
                      <wpg:cNvGrpSpPr/>
                      <wpg:grpSpPr>
                        <a:xfrm>
                          <a:off x="0" y="0"/>
                          <a:ext cx="622529" cy="263639"/>
                          <a:chOff x="0" y="0"/>
                          <a:chExt cx="622529" cy="263639"/>
                        </a:xfrm>
                      </wpg:grpSpPr>
                      <wps:wsp>
                        <wps:cNvPr id="6557" name="Shape 6557"/>
                        <wps:cNvSpPr/>
                        <wps:spPr>
                          <a:xfrm>
                            <a:off x="359296" y="406"/>
                            <a:ext cx="263233" cy="263233"/>
                          </a:xfrm>
                          <a:custGeom>
                            <a:avLst/>
                            <a:gdLst/>
                            <a:ahLst/>
                            <a:cxnLst/>
                            <a:rect l="0" t="0" r="0" b="0"/>
                            <a:pathLst>
                              <a:path w="263233" h="263233">
                                <a:moveTo>
                                  <a:pt x="0" y="0"/>
                                </a:moveTo>
                                <a:lnTo>
                                  <a:pt x="263233" y="0"/>
                                </a:lnTo>
                                <a:lnTo>
                                  <a:pt x="263233" y="263233"/>
                                </a:lnTo>
                                <a:lnTo>
                                  <a:pt x="0" y="263233"/>
                                </a:lnTo>
                                <a:lnTo>
                                  <a:pt x="0" y="0"/>
                                </a:lnTo>
                              </a:path>
                            </a:pathLst>
                          </a:custGeom>
                          <a:ln w="0" cap="flat">
                            <a:miter lim="127000"/>
                          </a:ln>
                        </wps:spPr>
                        <wps:style>
                          <a:lnRef idx="0">
                            <a:srgbClr val="000000">
                              <a:alpha val="0"/>
                            </a:srgbClr>
                          </a:lnRef>
                          <a:fillRef idx="1">
                            <a:srgbClr val="59A1CF"/>
                          </a:fillRef>
                          <a:effectRef idx="0">
                            <a:scrgbClr r="0" g="0" b="0"/>
                          </a:effectRef>
                          <a:fontRef idx="none"/>
                        </wps:style>
                        <wps:bodyPr/>
                      </wps:wsp>
                      <wps:wsp>
                        <wps:cNvPr id="435" name="Shape 435"/>
                        <wps:cNvSpPr/>
                        <wps:spPr>
                          <a:xfrm>
                            <a:off x="405149" y="60713"/>
                            <a:ext cx="175489" cy="142608"/>
                          </a:xfrm>
                          <a:custGeom>
                            <a:avLst/>
                            <a:gdLst/>
                            <a:ahLst/>
                            <a:cxnLst/>
                            <a:rect l="0" t="0" r="0" b="0"/>
                            <a:pathLst>
                              <a:path w="175489" h="142608">
                                <a:moveTo>
                                  <a:pt x="121501" y="0"/>
                                </a:moveTo>
                                <a:cubicBezTo>
                                  <a:pt x="131851" y="0"/>
                                  <a:pt x="141211" y="4369"/>
                                  <a:pt x="147777" y="11366"/>
                                </a:cubicBezTo>
                                <a:cubicBezTo>
                                  <a:pt x="155981" y="9754"/>
                                  <a:pt x="163678" y="6756"/>
                                  <a:pt x="170637" y="2629"/>
                                </a:cubicBezTo>
                                <a:cubicBezTo>
                                  <a:pt x="167957" y="11036"/>
                                  <a:pt x="162243" y="18097"/>
                                  <a:pt x="154813" y="22542"/>
                                </a:cubicBezTo>
                                <a:cubicBezTo>
                                  <a:pt x="162090" y="21679"/>
                                  <a:pt x="169037" y="19735"/>
                                  <a:pt x="175489" y="16878"/>
                                </a:cubicBezTo>
                                <a:cubicBezTo>
                                  <a:pt x="170663" y="24092"/>
                                  <a:pt x="164554" y="30442"/>
                                  <a:pt x="157518" y="35509"/>
                                </a:cubicBezTo>
                                <a:cubicBezTo>
                                  <a:pt x="157594" y="37058"/>
                                  <a:pt x="157632" y="38608"/>
                                  <a:pt x="157632" y="40170"/>
                                </a:cubicBezTo>
                                <a:cubicBezTo>
                                  <a:pt x="157632" y="87757"/>
                                  <a:pt x="121412" y="142608"/>
                                  <a:pt x="55194" y="142608"/>
                                </a:cubicBezTo>
                                <a:cubicBezTo>
                                  <a:pt x="34849" y="142608"/>
                                  <a:pt x="15926" y="136651"/>
                                  <a:pt x="0" y="126441"/>
                                </a:cubicBezTo>
                                <a:cubicBezTo>
                                  <a:pt x="2819" y="126771"/>
                                  <a:pt x="5677" y="126936"/>
                                  <a:pt x="8585" y="126936"/>
                                </a:cubicBezTo>
                                <a:cubicBezTo>
                                  <a:pt x="25451" y="126936"/>
                                  <a:pt x="40983" y="121183"/>
                                  <a:pt x="53302" y="111531"/>
                                </a:cubicBezTo>
                                <a:cubicBezTo>
                                  <a:pt x="37541" y="111239"/>
                                  <a:pt x="24244" y="100825"/>
                                  <a:pt x="19672" y="86525"/>
                                </a:cubicBezTo>
                                <a:cubicBezTo>
                                  <a:pt x="21869" y="86944"/>
                                  <a:pt x="24117" y="87172"/>
                                  <a:pt x="26441" y="87172"/>
                                </a:cubicBezTo>
                                <a:cubicBezTo>
                                  <a:pt x="29718" y="87172"/>
                                  <a:pt x="32906" y="86728"/>
                                  <a:pt x="35928" y="85903"/>
                                </a:cubicBezTo>
                                <a:cubicBezTo>
                                  <a:pt x="19456" y="82600"/>
                                  <a:pt x="7049" y="68046"/>
                                  <a:pt x="7049" y="50597"/>
                                </a:cubicBezTo>
                                <a:cubicBezTo>
                                  <a:pt x="7049" y="50457"/>
                                  <a:pt x="7049" y="50305"/>
                                  <a:pt x="7049" y="50152"/>
                                </a:cubicBezTo>
                                <a:cubicBezTo>
                                  <a:pt x="11900" y="52844"/>
                                  <a:pt x="17450" y="54470"/>
                                  <a:pt x="23355" y="54648"/>
                                </a:cubicBezTo>
                                <a:cubicBezTo>
                                  <a:pt x="13691" y="48196"/>
                                  <a:pt x="7341" y="37173"/>
                                  <a:pt x="7341" y="24688"/>
                                </a:cubicBezTo>
                                <a:cubicBezTo>
                                  <a:pt x="7341" y="18084"/>
                                  <a:pt x="9119" y="11899"/>
                                  <a:pt x="12217" y="6579"/>
                                </a:cubicBezTo>
                                <a:cubicBezTo>
                                  <a:pt x="29972" y="28372"/>
                                  <a:pt x="56502" y="42697"/>
                                  <a:pt x="86424" y="44208"/>
                                </a:cubicBezTo>
                                <a:cubicBezTo>
                                  <a:pt x="85814" y="41566"/>
                                  <a:pt x="85496" y="38824"/>
                                  <a:pt x="85496" y="36004"/>
                                </a:cubicBezTo>
                                <a:cubicBezTo>
                                  <a:pt x="85496" y="16116"/>
                                  <a:pt x="101613" y="0"/>
                                  <a:pt x="1215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6173" name="Picture 6173"/>
                          <pic:cNvPicPr/>
                        </pic:nvPicPr>
                        <pic:blipFill>
                          <a:blip r:embed="rId49"/>
                          <a:stretch>
                            <a:fillRect/>
                          </a:stretch>
                        </pic:blipFill>
                        <pic:spPr>
                          <a:xfrm>
                            <a:off x="-4063" y="-4610"/>
                            <a:ext cx="268224" cy="268224"/>
                          </a:xfrm>
                          <a:prstGeom prst="rect">
                            <a:avLst/>
                          </a:prstGeom>
                        </pic:spPr>
                      </pic:pic>
                    </wpg:wgp>
                  </a:graphicData>
                </a:graphic>
              </wp:inline>
            </w:drawing>
          </mc:Choice>
          <mc:Fallback xmlns:a="http://schemas.openxmlformats.org/drawingml/2006/main">
            <w:pict>
              <v:group id="Group 5918" style="width:49.018pt;height:20.759pt;mso-position-horizontal-relative:char;mso-position-vertical-relative:line" coordsize="6225,2636">
                <v:shape id="Shape 6558" style="position:absolute;width:2632;height:2632;left:3592;top:4;" coordsize="263233,263233" path="m0,0l263233,0l263233,263233l0,263233l0,0">
                  <v:stroke weight="0pt" endcap="flat" joinstyle="miter" miterlimit="10" on="false" color="#000000" opacity="0"/>
                  <v:fill on="true" color="#59a1cf"/>
                </v:shape>
                <v:shape id="Shape 435" style="position:absolute;width:1754;height:1426;left:4051;top:607;" coordsize="175489,142608" path="m121501,0c131851,0,141211,4369,147777,11366c155981,9754,163678,6756,170637,2629c167957,11036,162243,18097,154813,22542c162090,21679,169037,19735,175489,16878c170663,24092,164554,30442,157518,35509c157594,37058,157632,38608,157632,40170c157632,87757,121412,142608,55194,142608c34849,142608,15926,136651,0,126441c2819,126771,5677,126936,8585,126936c25451,126936,40983,121183,53302,111531c37541,111239,24244,100825,19672,86525c21869,86944,24117,87172,26441,87172c29718,87172,32906,86728,35928,85903c19456,82600,7049,68046,7049,50597c7049,50457,7049,50305,7049,50152c11900,52844,17450,54470,23355,54648c13691,48196,7341,37173,7341,24688c7341,18084,9119,11899,12217,6579c29972,28372,56502,42697,86424,44208c85814,41566,85496,38824,85496,36004c85496,16116,101613,0,121501,0x">
                  <v:stroke weight="0pt" endcap="flat" joinstyle="miter" miterlimit="10" on="false" color="#000000" opacity="0"/>
                  <v:fill on="true" color="#fffefd"/>
                </v:shape>
                <v:shape id="Picture 6173" style="position:absolute;width:2682;height:2682;left:-40;top:-46;" filled="f">
                  <v:imagedata r:id="rId50"/>
                </v:shape>
              </v:group>
            </w:pict>
          </mc:Fallback>
        </mc:AlternateContent>
      </w:r>
    </w:p>
    <w:p w:rsidR="00EF72A4" w:rsidRDefault="00B32D51">
      <w:pPr>
        <w:spacing w:after="0"/>
        <w:ind w:left="-3" w:right="0"/>
      </w:pPr>
      <w:r>
        <w:t xml:space="preserve">Like us on Facebook at facebook.com/nyscomptroller </w:t>
      </w:r>
      <w:r>
        <w:t xml:space="preserve"> </w:t>
      </w:r>
    </w:p>
    <w:p w:rsidR="00EF72A4" w:rsidRDefault="00B32D51">
      <w:pPr>
        <w:ind w:left="-3" w:right="0"/>
      </w:pPr>
      <w:r>
        <w:t>Follow us on Twitter @nyscomptroller</w:t>
      </w:r>
    </w:p>
    <w:sectPr w:rsidR="00EF72A4">
      <w:headerReference w:type="even" r:id="rId51"/>
      <w:headerReference w:type="default" r:id="rId52"/>
      <w:footerReference w:type="even" r:id="rId53"/>
      <w:footerReference w:type="default" r:id="rId54"/>
      <w:headerReference w:type="first" r:id="rId55"/>
      <w:footerReference w:type="first" r:id="rId56"/>
      <w:pgSz w:w="12240" w:h="15840"/>
      <w:pgMar w:top="1120" w:right="1863" w:bottom="1419" w:left="10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D51" w:rsidRDefault="00B32D51">
      <w:pPr>
        <w:spacing w:after="0" w:line="240" w:lineRule="auto"/>
      </w:pPr>
      <w:r>
        <w:separator/>
      </w:r>
    </w:p>
  </w:endnote>
  <w:endnote w:type="continuationSeparator" w:id="0">
    <w:p w:rsidR="00B32D51" w:rsidRDefault="00B32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0" w:firstLine="0"/>
    </w:pPr>
    <w:r>
      <w:fldChar w:fldCharType="begin"/>
    </w:r>
    <w:r>
      <w:instrText xml:space="preserve"> PAGE   \* MERGEFORMAT </w:instrText>
    </w:r>
    <w:r>
      <w:fldChar w:fldCharType="separate"/>
    </w:r>
    <w:r w:rsidR="00D20834" w:rsidRPr="00D20834">
      <w:rPr>
        <w:b/>
        <w:noProof/>
        <w:color w:val="F79646"/>
        <w:sz w:val="18"/>
      </w:rPr>
      <w:t>10</w:t>
    </w:r>
    <w:r>
      <w:rPr>
        <w:b/>
        <w:color w:val="F79646"/>
        <w:sz w:val="18"/>
      </w:rPr>
      <w:fldChar w:fldCharType="end"/>
    </w:r>
    <w:r>
      <w:rPr>
        <w:sz w:val="18"/>
      </w:rPr>
      <w:t xml:space="preserve">       </w:t>
    </w:r>
    <w:r>
      <w:rPr>
        <w:b/>
        <w:sz w:val="18"/>
      </w:rPr>
      <w:t>Office of the New York State Comptroller</w:t>
    </w:r>
    <w:r>
      <w:rPr>
        <w:sz w:val="18"/>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0" w:firstLine="0"/>
    </w:pPr>
    <w:r>
      <w:fldChar w:fldCharType="begin"/>
    </w:r>
    <w:r>
      <w:instrText xml:space="preserve"> PAGE   \* MERGEFORMAT </w:instrText>
    </w:r>
    <w:r>
      <w:fldChar w:fldCharType="separate"/>
    </w:r>
    <w:r>
      <w:rPr>
        <w:b/>
        <w:color w:val="F79646"/>
        <w:sz w:val="18"/>
      </w:rPr>
      <w:t>2</w:t>
    </w:r>
    <w:r>
      <w:rPr>
        <w:b/>
        <w:color w:val="F79646"/>
        <w:sz w:val="18"/>
      </w:rPr>
      <w:fldChar w:fldCharType="end"/>
    </w:r>
    <w:r>
      <w:rPr>
        <w:sz w:val="18"/>
      </w:rPr>
      <w:t xml:space="preserve">       </w:t>
    </w:r>
    <w:r>
      <w:rPr>
        <w:b/>
        <w:sz w:val="18"/>
      </w:rPr>
      <w:t>Office of the New York State Comptroller</w:t>
    </w:r>
    <w:r>
      <w:rPr>
        <w:sz w:val="1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0" w:firstLine="0"/>
    </w:pPr>
    <w:r>
      <w:fldChar w:fldCharType="begin"/>
    </w:r>
    <w:r>
      <w:instrText xml:space="preserve"> PAGE   \* MERGEFORMAT </w:instrText>
    </w:r>
    <w:r>
      <w:fldChar w:fldCharType="separate"/>
    </w:r>
    <w:r w:rsidR="00D20834" w:rsidRPr="00D20834">
      <w:rPr>
        <w:b/>
        <w:noProof/>
        <w:color w:val="F79646"/>
        <w:sz w:val="18"/>
      </w:rPr>
      <w:t>4</w:t>
    </w:r>
    <w:r>
      <w:rPr>
        <w:b/>
        <w:color w:val="F79646"/>
        <w:sz w:val="18"/>
      </w:rPr>
      <w:fldChar w:fldCharType="end"/>
    </w:r>
    <w:r>
      <w:rPr>
        <w:sz w:val="18"/>
      </w:rPr>
      <w:t xml:space="preserve">       </w:t>
    </w:r>
    <w:r>
      <w:rPr>
        <w:b/>
        <w:sz w:val="18"/>
      </w:rPr>
      <w:t>Office of the New York State Comptroller</w:t>
    </w:r>
    <w:r>
      <w:rPr>
        <w:sz w:val="18"/>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2111" w:firstLine="0"/>
      <w:jc w:val="right"/>
    </w:pPr>
    <w:r>
      <w:rPr>
        <w:b/>
        <w:sz w:val="18"/>
      </w:rPr>
      <w:t>Office of the New York State Comptroller</w:t>
    </w:r>
    <w:r>
      <w:rPr>
        <w:sz w:val="18"/>
      </w:rPr>
      <w:t xml:space="preserve">       </w:t>
    </w:r>
    <w:r>
      <w:fldChar w:fldCharType="begin"/>
    </w:r>
    <w:r>
      <w:instrText xml:space="preserve"> PAGE   \* MERGEFORMAT </w:instrText>
    </w:r>
    <w:r>
      <w:fldChar w:fldCharType="separate"/>
    </w:r>
    <w:r w:rsidR="00D20834" w:rsidRPr="00D20834">
      <w:rPr>
        <w:b/>
        <w:noProof/>
        <w:color w:val="F79646"/>
        <w:sz w:val="18"/>
      </w:rPr>
      <w:t>3</w:t>
    </w:r>
    <w:r>
      <w:rPr>
        <w:b/>
        <w:color w:val="F79646"/>
        <w:sz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2111" w:firstLine="0"/>
      <w:jc w:val="right"/>
    </w:pPr>
    <w:r>
      <w:rPr>
        <w:b/>
        <w:sz w:val="18"/>
      </w:rPr>
      <w:t>Office of the New York State Comptroller</w:t>
    </w:r>
    <w:r>
      <w:rPr>
        <w:sz w:val="18"/>
      </w:rPr>
      <w:t xml:space="preserve">       </w:t>
    </w:r>
    <w:r>
      <w:fldChar w:fldCharType="begin"/>
    </w:r>
    <w:r>
      <w:instrText xml:space="preserve"> PAGE   \* MERGEFORMAT </w:instrText>
    </w:r>
    <w:r>
      <w:fldChar w:fldCharType="separate"/>
    </w:r>
    <w:r w:rsidR="00D20834" w:rsidRPr="00D20834">
      <w:rPr>
        <w:b/>
        <w:noProof/>
        <w:color w:val="F79646"/>
        <w:sz w:val="18"/>
      </w:rPr>
      <w:t>1</w:t>
    </w:r>
    <w:r>
      <w:rPr>
        <w:b/>
        <w:color w:val="F79646"/>
        <w:sz w:val="1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3" w:right="0" w:firstLine="0"/>
    </w:pPr>
    <w:r>
      <w:fldChar w:fldCharType="begin"/>
    </w:r>
    <w:r>
      <w:instrText xml:space="preserve"> PAGE   \* MERGEFORMAT </w:instrText>
    </w:r>
    <w:r>
      <w:fldChar w:fldCharType="separate"/>
    </w:r>
    <w:r w:rsidR="00D20834" w:rsidRPr="00D20834">
      <w:rPr>
        <w:b/>
        <w:noProof/>
        <w:color w:val="F79646"/>
        <w:sz w:val="18"/>
      </w:rPr>
      <w:t>8</w:t>
    </w:r>
    <w:r>
      <w:rPr>
        <w:b/>
        <w:color w:val="F79646"/>
        <w:sz w:val="18"/>
      </w:rPr>
      <w:fldChar w:fldCharType="end"/>
    </w:r>
    <w:r>
      <w:rPr>
        <w:sz w:val="18"/>
      </w:rPr>
      <w:t xml:space="preserve">       </w:t>
    </w:r>
    <w:r>
      <w:rPr>
        <w:b/>
        <w:sz w:val="18"/>
      </w:rPr>
      <w:t xml:space="preserve">Office of the New </w:t>
    </w:r>
    <w:r>
      <w:rPr>
        <w:b/>
        <w:sz w:val="18"/>
      </w:rPr>
      <w:t>York State Comptroller</w:t>
    </w:r>
    <w:r>
      <w:rPr>
        <w:sz w:val="18"/>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1397" w:firstLine="0"/>
      <w:jc w:val="right"/>
    </w:pPr>
    <w:r>
      <w:rPr>
        <w:b/>
        <w:sz w:val="18"/>
      </w:rPr>
      <w:t>Office of the New York State Comptroller</w:t>
    </w:r>
    <w:r>
      <w:rPr>
        <w:sz w:val="18"/>
      </w:rPr>
      <w:t xml:space="preserve">       </w:t>
    </w:r>
    <w:r>
      <w:fldChar w:fldCharType="begin"/>
    </w:r>
    <w:r>
      <w:instrText xml:space="preserve"> PAGE   \* MERGEFORMAT </w:instrText>
    </w:r>
    <w:r>
      <w:fldChar w:fldCharType="separate"/>
    </w:r>
    <w:r w:rsidR="00D20834" w:rsidRPr="00D20834">
      <w:rPr>
        <w:b/>
        <w:noProof/>
        <w:color w:val="F79646"/>
        <w:sz w:val="18"/>
      </w:rPr>
      <w:t>7</w:t>
    </w:r>
    <w:r>
      <w:rPr>
        <w:b/>
        <w:color w:val="F79646"/>
        <w:sz w:val="18"/>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0" w:right="-1397" w:firstLine="0"/>
      <w:jc w:val="right"/>
    </w:pPr>
    <w:r>
      <w:rPr>
        <w:b/>
        <w:sz w:val="18"/>
      </w:rPr>
      <w:t>Office of the New York State Comptroller</w:t>
    </w:r>
    <w:r>
      <w:rPr>
        <w:sz w:val="18"/>
      </w:rPr>
      <w:t xml:space="preserve">       </w:t>
    </w:r>
    <w:r>
      <w:fldChar w:fldCharType="begin"/>
    </w:r>
    <w:r>
      <w:instrText xml:space="preserve"> PAGE   \* MERGEFORMAT </w:instrText>
    </w:r>
    <w:r>
      <w:fldChar w:fldCharType="separate"/>
    </w:r>
    <w:r>
      <w:rPr>
        <w:b/>
        <w:color w:val="F79646"/>
        <w:sz w:val="18"/>
      </w:rPr>
      <w:t>1</w:t>
    </w:r>
    <w:r>
      <w:rPr>
        <w:b/>
        <w:color w:val="F79646"/>
        <w:sz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D51" w:rsidRDefault="00B32D51">
      <w:pPr>
        <w:spacing w:after="0" w:line="261" w:lineRule="auto"/>
        <w:ind w:left="0" w:right="0" w:firstLine="0"/>
      </w:pPr>
      <w:r>
        <w:separator/>
      </w:r>
    </w:p>
  </w:footnote>
  <w:footnote w:type="continuationSeparator" w:id="0">
    <w:p w:rsidR="00B32D51" w:rsidRDefault="00B32D51">
      <w:pPr>
        <w:spacing w:after="0" w:line="261" w:lineRule="auto"/>
        <w:ind w:left="0" w:right="0" w:firstLine="0"/>
      </w:pPr>
      <w:r>
        <w:continuationSeparator/>
      </w:r>
    </w:p>
  </w:footnote>
  <w:footnote w:id="1">
    <w:p w:rsidR="00EF72A4" w:rsidRDefault="00B32D51">
      <w:pPr>
        <w:pStyle w:val="footnotedescription"/>
      </w:pPr>
      <w:r>
        <w:rPr>
          <w:rStyle w:val="footnotemark"/>
        </w:rPr>
        <w:footnoteRef/>
      </w:r>
      <w:r>
        <w:t xml:space="preserve"> Prior to January 1, 2019, employees who retired were paid one hour for every four hours of accrued unused sick leave at the emplo</w:t>
      </w:r>
      <w:r>
        <w:t>yee’s hourly rate of pay at the time of retirement.</w:t>
      </w:r>
    </w:p>
  </w:footnote>
  <w:footnote w:id="2">
    <w:p w:rsidR="00EF72A4" w:rsidRDefault="00B32D51">
      <w:pPr>
        <w:pStyle w:val="footnotedescription"/>
        <w:spacing w:after="120"/>
      </w:pPr>
      <w:r>
        <w:rPr>
          <w:rStyle w:val="footnotemark"/>
        </w:rPr>
        <w:footnoteRef/>
      </w:r>
      <w:r>
        <w:t xml:space="preserve"> The 701.75 hours consisted of 102.5 hours of vacation leave, 523 hours of sick leave, 56 hours of personal leave and 20.25 hours of compensatory leave.</w:t>
      </w:r>
    </w:p>
  </w:footnote>
  <w:footnote w:id="3">
    <w:p w:rsidR="00EF72A4" w:rsidRDefault="00B32D51">
      <w:pPr>
        <w:pStyle w:val="footnotedescription"/>
      </w:pPr>
      <w:r>
        <w:rPr>
          <w:rStyle w:val="footnotemark"/>
        </w:rPr>
        <w:footnoteRef/>
      </w:r>
      <w:r>
        <w:t xml:space="preserve"> The 86.5 hours consisted of eight hours of vacat</w:t>
      </w:r>
      <w:r>
        <w:t>ion leave, 58 hours of sick leave and 20.5 hours of compensatory leave.</w:t>
      </w:r>
    </w:p>
  </w:footnote>
  <w:footnote w:id="4">
    <w:p w:rsidR="00EF72A4" w:rsidRDefault="00B32D51">
      <w:pPr>
        <w:pStyle w:val="footnotedescription"/>
        <w:spacing w:line="259" w:lineRule="auto"/>
      </w:pPr>
      <w:r>
        <w:rPr>
          <w:rStyle w:val="footnotemark"/>
        </w:rPr>
        <w:footnoteRef/>
      </w:r>
      <w:r>
        <w:t xml:space="preserve"> We also issued a separate audit report, </w:t>
      </w:r>
      <w:r>
        <w:rPr>
          <w:i/>
        </w:rPr>
        <w:t>Town of Moriah – Cash Management (2019M-169)</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1080" w:right="9060"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685800</wp:posOffset>
              </wp:positionH>
              <wp:positionV relativeFrom="page">
                <wp:posOffset>1079500</wp:posOffset>
              </wp:positionV>
              <wp:extent cx="6400800" cy="25400"/>
              <wp:effectExtent l="0" t="0" r="0" b="0"/>
              <wp:wrapSquare wrapText="bothSides"/>
              <wp:docPr id="6183" name="Group 6183"/>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6184" name="Shape 6184"/>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183" style="width:504pt;height:2pt;position:absolute;mso-position-horizontal-relative:page;mso-position-horizontal:absolute;margin-left:54pt;mso-position-vertical-relative:page;margin-top:85pt;" coordsize="64008,254">
              <v:shape id="Shape 6184" style="position:absolute;width:64008;height:0;left:0;top:0;" coordsize="6400800,0" path="m0,0l6400800,0">
                <v:stroke weight="2pt" endcap="flat" joinstyle="miter" miterlimit="4" on="true" color="#558ed5"/>
                <v:fill on="false" color="#000000" opacity="0"/>
              </v:shape>
              <w10:wrap type="squar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1080" w:right="9049" w:firstLine="0"/>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685800</wp:posOffset>
              </wp:positionH>
              <wp:positionV relativeFrom="page">
                <wp:posOffset>1079500</wp:posOffset>
              </wp:positionV>
              <wp:extent cx="6400800" cy="25400"/>
              <wp:effectExtent l="0" t="0" r="0" b="0"/>
              <wp:wrapSquare wrapText="bothSides"/>
              <wp:docPr id="6214" name="Group 6214"/>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6215" name="Shape 6215"/>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14" style="width:504pt;height:2pt;position:absolute;mso-position-horizontal-relative:page;mso-position-horizontal:absolute;margin-left:54pt;mso-position-vertical-relative:page;margin-top:85pt;" coordsize="64008,254">
              <v:shape id="Shape 6215" style="position:absolute;width:64008;height:0;left:0;top:0;" coordsize="6400800,0" path="m0,0l6400800,0">
                <v:stroke weight="2pt" endcap="flat" joinstyle="miter" miterlimit="4" on="true" color="#558ed5"/>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1080" w:right="9049"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simplePos x="0" y="0"/>
              <wp:positionH relativeFrom="page">
                <wp:posOffset>685800</wp:posOffset>
              </wp:positionH>
              <wp:positionV relativeFrom="page">
                <wp:posOffset>1079500</wp:posOffset>
              </wp:positionV>
              <wp:extent cx="6400800" cy="25400"/>
              <wp:effectExtent l="0" t="0" r="0" b="0"/>
              <wp:wrapSquare wrapText="bothSides"/>
              <wp:docPr id="6200" name="Group 6200"/>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6201" name="Shape 6201"/>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00" style="width:504pt;height:2pt;position:absolute;mso-position-horizontal-relative:page;mso-position-horizontal:absolute;margin-left:54pt;mso-position-vertical-relative:page;margin-top:85pt;" coordsize="64008,254">
              <v:shape id="Shape 6201" style="position:absolute;width:64008;height:0;left:0;top:0;" coordsize="6400800,0" path="m0,0l6400800,0">
                <v:stroke weight="2pt" endcap="flat" joinstyle="miter" miterlimit="4" on="true" color="#558ed5"/>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B32D51">
    <w:pPr>
      <w:spacing w:after="0" w:line="259" w:lineRule="auto"/>
      <w:ind w:left="-1078" w:right="9763" w:firstLine="0"/>
    </w:pP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page">
                <wp:posOffset>685800</wp:posOffset>
              </wp:positionH>
              <wp:positionV relativeFrom="page">
                <wp:posOffset>1079500</wp:posOffset>
              </wp:positionV>
              <wp:extent cx="6400800" cy="25400"/>
              <wp:effectExtent l="0" t="0" r="0" b="0"/>
              <wp:wrapSquare wrapText="bothSides"/>
              <wp:docPr id="6248" name="Group 6248"/>
              <wp:cNvGraphicFramePr/>
              <a:graphic xmlns:a="http://schemas.openxmlformats.org/drawingml/2006/main">
                <a:graphicData uri="http://schemas.microsoft.com/office/word/2010/wordprocessingGroup">
                  <wpg:wgp>
                    <wpg:cNvGrpSpPr/>
                    <wpg:grpSpPr>
                      <a:xfrm>
                        <a:off x="0" y="0"/>
                        <a:ext cx="6400800" cy="25400"/>
                        <a:chOff x="0" y="0"/>
                        <a:chExt cx="6400800" cy="25400"/>
                      </a:xfrm>
                    </wpg:grpSpPr>
                    <wps:wsp>
                      <wps:cNvPr id="6249" name="Shape 6249"/>
                      <wps:cNvSpPr/>
                      <wps:spPr>
                        <a:xfrm>
                          <a:off x="0" y="0"/>
                          <a:ext cx="6400800" cy="0"/>
                        </a:xfrm>
                        <a:custGeom>
                          <a:avLst/>
                          <a:gdLst/>
                          <a:ahLst/>
                          <a:cxnLst/>
                          <a:rect l="0" t="0" r="0" b="0"/>
                          <a:pathLst>
                            <a:path w="6400800">
                              <a:moveTo>
                                <a:pt x="0" y="0"/>
                              </a:moveTo>
                              <a:lnTo>
                                <a:pt x="6400800" y="0"/>
                              </a:lnTo>
                            </a:path>
                          </a:pathLst>
                        </a:custGeom>
                        <a:ln w="25400" cap="flat">
                          <a:miter lim="100000"/>
                        </a:ln>
                      </wps:spPr>
                      <wps:style>
                        <a:lnRef idx="1">
                          <a:srgbClr val="558ED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248" style="width:504pt;height:2pt;position:absolute;mso-position-horizontal-relative:page;mso-position-horizontal:absolute;margin-left:54pt;mso-position-vertical-relative:page;margin-top:85pt;" coordsize="64008,254">
              <v:shape id="Shape 6249" style="position:absolute;width:64008;height:0;left:0;top:0;" coordsize="6400800,0" path="m0,0l6400800,0">
                <v:stroke weight="2pt" endcap="flat" joinstyle="miter" miterlimit="4" on="true" color="#558ed5"/>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2A4" w:rsidRDefault="00EF72A4">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32D7"/>
    <w:multiLevelType w:val="hybridMultilevel"/>
    <w:tmpl w:val="41F81118"/>
    <w:lvl w:ilvl="0" w:tplc="28CA1F94">
      <w:start w:val="1"/>
      <w:numFmt w:val="bullet"/>
      <w:lvlText w:val="l"/>
      <w:lvlJc w:val="left"/>
      <w:pPr>
        <w:ind w:left="25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1" w:tplc="B282BECE">
      <w:start w:val="1"/>
      <w:numFmt w:val="bullet"/>
      <w:lvlText w:val="o"/>
      <w:lvlJc w:val="left"/>
      <w:pPr>
        <w:ind w:left="132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2" w:tplc="85B88C0C">
      <w:start w:val="1"/>
      <w:numFmt w:val="bullet"/>
      <w:lvlText w:val="▪"/>
      <w:lvlJc w:val="left"/>
      <w:pPr>
        <w:ind w:left="204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3" w:tplc="0FB85FDC">
      <w:start w:val="1"/>
      <w:numFmt w:val="bullet"/>
      <w:lvlText w:val="•"/>
      <w:lvlJc w:val="left"/>
      <w:pPr>
        <w:ind w:left="276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4" w:tplc="E33AA7AA">
      <w:start w:val="1"/>
      <w:numFmt w:val="bullet"/>
      <w:lvlText w:val="o"/>
      <w:lvlJc w:val="left"/>
      <w:pPr>
        <w:ind w:left="348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5" w:tplc="919C6F68">
      <w:start w:val="1"/>
      <w:numFmt w:val="bullet"/>
      <w:lvlText w:val="▪"/>
      <w:lvlJc w:val="left"/>
      <w:pPr>
        <w:ind w:left="420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6" w:tplc="86EA2BDE">
      <w:start w:val="1"/>
      <w:numFmt w:val="bullet"/>
      <w:lvlText w:val="•"/>
      <w:lvlJc w:val="left"/>
      <w:pPr>
        <w:ind w:left="492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7" w:tplc="2F08A2F8">
      <w:start w:val="1"/>
      <w:numFmt w:val="bullet"/>
      <w:lvlText w:val="o"/>
      <w:lvlJc w:val="left"/>
      <w:pPr>
        <w:ind w:left="564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lvl w:ilvl="8" w:tplc="90823B72">
      <w:start w:val="1"/>
      <w:numFmt w:val="bullet"/>
      <w:lvlText w:val="▪"/>
      <w:lvlJc w:val="left"/>
      <w:pPr>
        <w:ind w:left="6360"/>
      </w:pPr>
      <w:rPr>
        <w:rFonts w:ascii="Wingdings" w:eastAsia="Wingdings" w:hAnsi="Wingdings" w:cs="Wingdings"/>
        <w:b w:val="0"/>
        <w:i w:val="0"/>
        <w:strike w:val="0"/>
        <w:dstrike w:val="0"/>
        <w:color w:val="F79646"/>
        <w:sz w:val="17"/>
        <w:szCs w:val="17"/>
        <w:u w:val="none" w:color="000000"/>
        <w:bdr w:val="none" w:sz="0" w:space="0" w:color="auto"/>
        <w:shd w:val="clear" w:color="auto" w:fill="auto"/>
        <w:vertAlign w:val="baseline"/>
      </w:rPr>
    </w:lvl>
  </w:abstractNum>
  <w:abstractNum w:abstractNumId="1" w15:restartNumberingAfterBreak="0">
    <w:nsid w:val="67334B9E"/>
    <w:multiLevelType w:val="hybridMultilevel"/>
    <w:tmpl w:val="592E9DB8"/>
    <w:lvl w:ilvl="0" w:tplc="23C6CE9E">
      <w:start w:val="1"/>
      <w:numFmt w:val="decimal"/>
      <w:lvlText w:val="%1."/>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1FB825C2">
      <w:start w:val="1"/>
      <w:numFmt w:val="lowerLetter"/>
      <w:lvlText w:val="%2"/>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FB801EF0">
      <w:start w:val="1"/>
      <w:numFmt w:val="lowerRoman"/>
      <w:lvlText w:val="%3"/>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624C73BC">
      <w:start w:val="1"/>
      <w:numFmt w:val="decimal"/>
      <w:lvlText w:val="%4"/>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4120FC6">
      <w:start w:val="1"/>
      <w:numFmt w:val="lowerLetter"/>
      <w:lvlText w:val="%5"/>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6CE28E7C">
      <w:start w:val="1"/>
      <w:numFmt w:val="lowerRoman"/>
      <w:lvlText w:val="%6"/>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C0E469C2">
      <w:start w:val="1"/>
      <w:numFmt w:val="decimal"/>
      <w:lvlText w:val="%7"/>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C5F04636">
      <w:start w:val="1"/>
      <w:numFmt w:val="lowerLetter"/>
      <w:lvlText w:val="%8"/>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E5C433A8">
      <w:start w:val="1"/>
      <w:numFmt w:val="lowerRoman"/>
      <w:lvlText w:val="%9"/>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A4"/>
    <w:rsid w:val="00B32D51"/>
    <w:rsid w:val="00D20834"/>
    <w:rsid w:val="00E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50CF01-3C48-4389-A66E-9A533048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4" w:line="271" w:lineRule="auto"/>
      <w:ind w:left="10" w:right="2548" w:hanging="10"/>
    </w:pPr>
    <w:rPr>
      <w:rFonts w:ascii="Arial" w:eastAsia="Arial" w:hAnsi="Arial" w:cs="Arial"/>
      <w:color w:val="181717"/>
    </w:rPr>
  </w:style>
  <w:style w:type="paragraph" w:styleId="Heading1">
    <w:name w:val="heading 1"/>
    <w:next w:val="Normal"/>
    <w:link w:val="Heading1Char"/>
    <w:uiPriority w:val="9"/>
    <w:unhideWhenUsed/>
    <w:qFormat/>
    <w:pPr>
      <w:keepNext/>
      <w:keepLines/>
      <w:spacing w:after="0"/>
      <w:ind w:left="13" w:hanging="10"/>
      <w:outlineLvl w:val="0"/>
    </w:pPr>
    <w:rPr>
      <w:rFonts w:ascii="Arial" w:eastAsia="Arial" w:hAnsi="Arial" w:cs="Arial"/>
      <w:color w:val="F79646"/>
      <w:sz w:val="42"/>
    </w:rPr>
  </w:style>
  <w:style w:type="paragraph" w:styleId="Heading2">
    <w:name w:val="heading 2"/>
    <w:next w:val="Normal"/>
    <w:link w:val="Heading2Char"/>
    <w:uiPriority w:val="9"/>
    <w:unhideWhenUsed/>
    <w:qFormat/>
    <w:pPr>
      <w:keepNext/>
      <w:keepLines/>
      <w:spacing w:after="156" w:line="265" w:lineRule="auto"/>
      <w:ind w:left="10" w:hanging="10"/>
      <w:outlineLvl w:val="1"/>
    </w:pPr>
    <w:rPr>
      <w:rFonts w:ascii="Arial" w:eastAsia="Arial" w:hAnsi="Arial" w:cs="Arial"/>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61" w:lineRule="auto"/>
    </w:pPr>
    <w:rPr>
      <w:rFonts w:ascii="Arial" w:eastAsia="Arial" w:hAnsi="Arial" w:cs="Arial"/>
      <w:color w:val="181717"/>
      <w:sz w:val="16"/>
    </w:rPr>
  </w:style>
  <w:style w:type="character" w:customStyle="1" w:styleId="footnotedescriptionChar">
    <w:name w:val="footnote description Char"/>
    <w:link w:val="footnotedescription"/>
    <w:rPr>
      <w:rFonts w:ascii="Arial" w:eastAsia="Arial" w:hAnsi="Arial" w:cs="Arial"/>
      <w:color w:val="181717"/>
      <w:sz w:val="16"/>
    </w:rPr>
  </w:style>
  <w:style w:type="character" w:customStyle="1" w:styleId="Heading1Char">
    <w:name w:val="Heading 1 Char"/>
    <w:link w:val="Heading1"/>
    <w:rPr>
      <w:rFonts w:ascii="Arial" w:eastAsia="Arial" w:hAnsi="Arial" w:cs="Arial"/>
      <w:color w:val="F79646"/>
      <w:sz w:val="42"/>
    </w:rPr>
  </w:style>
  <w:style w:type="character" w:customStyle="1" w:styleId="Heading2Char">
    <w:name w:val="Heading 2 Char"/>
    <w:link w:val="Heading2"/>
    <w:rPr>
      <w:rFonts w:ascii="Arial" w:eastAsia="Arial" w:hAnsi="Arial" w:cs="Arial"/>
      <w:b/>
      <w:color w:val="181717"/>
      <w:sz w:val="24"/>
    </w:rPr>
  </w:style>
  <w:style w:type="paragraph" w:styleId="TOC1">
    <w:name w:val="toc 1"/>
    <w:hidden/>
    <w:pPr>
      <w:spacing w:after="456" w:line="265" w:lineRule="auto"/>
      <w:ind w:left="25" w:right="23" w:hanging="10"/>
    </w:pPr>
    <w:rPr>
      <w:rFonts w:ascii="Arial" w:eastAsia="Arial" w:hAnsi="Arial" w:cs="Arial"/>
      <w:b/>
      <w:color w:val="181717"/>
      <w:sz w:val="24"/>
    </w:rPr>
  </w:style>
  <w:style w:type="paragraph" w:styleId="TOC2">
    <w:name w:val="toc 2"/>
    <w:hidden/>
    <w:pPr>
      <w:spacing w:after="216" w:line="265" w:lineRule="auto"/>
      <w:ind w:left="370" w:right="15" w:hanging="10"/>
      <w:jc w:val="right"/>
    </w:pPr>
    <w:rPr>
      <w:rFonts w:ascii="Arial" w:eastAsia="Arial" w:hAnsi="Arial" w:cs="Arial"/>
      <w:color w:val="181717"/>
      <w:sz w:val="24"/>
    </w:rPr>
  </w:style>
  <w:style w:type="character" w:customStyle="1" w:styleId="footnotemark">
    <w:name w:val="footnote mark"/>
    <w:hidden/>
    <w:rPr>
      <w:rFonts w:ascii="Arial" w:eastAsia="Arial" w:hAnsi="Arial" w:cs="Arial"/>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80.png"/><Relationship Id="rId47" Type="http://schemas.openxmlformats.org/officeDocument/2006/relationships/header" Target="header9.xml"/><Relationship Id="rId50" Type="http://schemas.openxmlformats.org/officeDocument/2006/relationships/image" Target="media/image120.png"/><Relationship Id="rId55" Type="http://schemas.openxmlformats.org/officeDocument/2006/relationships/header" Target="header12.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1.png"/><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image" Target="media/image70.png"/><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32" Type="http://schemas.openxmlformats.org/officeDocument/2006/relationships/image" Target="media/image30.png"/><Relationship Id="rId37" Type="http://schemas.openxmlformats.org/officeDocument/2006/relationships/image" Target="media/image9.png"/><Relationship Id="rId40" Type="http://schemas.openxmlformats.org/officeDocument/2006/relationships/image" Target="media/image60.png"/><Relationship Id="rId45" Type="http://schemas.openxmlformats.org/officeDocument/2006/relationships/footer" Target="footer7.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20.png"/><Relationship Id="rId44" Type="http://schemas.openxmlformats.org/officeDocument/2006/relationships/header" Target="header8.xml"/><Relationship Id="rId52"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30" Type="http://schemas.openxmlformats.org/officeDocument/2006/relationships/image" Target="media/image10.png"/><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footer" Target="footer12.xml"/><Relationship Id="rId8" Type="http://schemas.openxmlformats.org/officeDocument/2006/relationships/header" Target="header1.xml"/><Relationship Id="rId5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1903</Words>
  <Characters>10851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cp:lastModifiedBy>user1</cp:lastModifiedBy>
  <cp:revision>2</cp:revision>
  <dcterms:created xsi:type="dcterms:W3CDTF">2019-11-27T15:59:00Z</dcterms:created>
  <dcterms:modified xsi:type="dcterms:W3CDTF">2019-11-27T15:59:00Z</dcterms:modified>
</cp:coreProperties>
</file>